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textAlignment w:val="auto"/>
        <w:rPr>
          <w:rFonts w:hint="default" w:ascii="黑体" w:hAnsi="黑体" w:eastAsia="黑体" w:cs="Times New Roman"/>
          <w:lang w:val="en-US" w:eastAsia="zh-CN"/>
        </w:rPr>
      </w:pPr>
      <w:r>
        <w:rPr>
          <w:rFonts w:ascii="黑体" w:hAnsi="黑体" w:eastAsia="黑体" w:cs="Times New Roman"/>
        </w:rPr>
        <mc:AlternateContent>
          <mc:Choice Requires="wps">
            <w:drawing>
              <wp:anchor distT="0" distB="0" distL="114300" distR="114300" simplePos="0" relativeHeight="251659264" behindDoc="0" locked="0" layoutInCell="1" allowOverlap="1">
                <wp:simplePos x="0" y="0"/>
                <wp:positionH relativeFrom="column">
                  <wp:posOffset>2859405</wp:posOffset>
                </wp:positionH>
                <wp:positionV relativeFrom="topMargin">
                  <wp:posOffset>465455</wp:posOffset>
                </wp:positionV>
                <wp:extent cx="3696970" cy="792480"/>
                <wp:effectExtent l="0" t="0" r="0" b="0"/>
                <wp:wrapNone/>
                <wp:docPr id="7" name="Text Box 2"/>
                <wp:cNvGraphicFramePr/>
                <a:graphic xmlns:a="http://schemas.openxmlformats.org/drawingml/2006/main">
                  <a:graphicData uri="http://schemas.microsoft.com/office/word/2010/wordprocessingShape">
                    <wps:wsp>
                      <wps:cNvSpPr txBox="1">
                        <a:spLocks noChangeArrowheads="1"/>
                      </wps:cNvSpPr>
                      <wps:spPr bwMode="auto">
                        <a:xfrm>
                          <a:off x="0" y="0"/>
                          <a:ext cx="3696970" cy="792480"/>
                        </a:xfrm>
                        <a:prstGeom prst="rect">
                          <a:avLst/>
                        </a:prstGeom>
                        <a:noFill/>
                        <a:ln>
                          <a:noFill/>
                        </a:ln>
                      </wps:spPr>
                      <wps:txbx>
                        <w:txbxContent>
                          <w:p>
                            <w:pPr>
                              <w:pStyle w:val="29"/>
                              <w:shd w:val="clear"/>
                              <w:wordWrap w:val="0"/>
                              <w:ind w:right="471" w:firstLine="626" w:firstLineChars="50"/>
                              <w:jc w:val="both"/>
                              <w:rPr>
                                <w:rFonts w:eastAsia="方正小标宋_GBK"/>
                                <w:sz w:val="84"/>
                                <w:szCs w:val="84"/>
                              </w:rPr>
                            </w:pPr>
                            <w:r>
                              <w:rPr>
                                <w:rFonts w:eastAsia="方正小标宋_GBK"/>
                                <w:szCs w:val="84"/>
                              </w:rPr>
                              <w:t>DB3205</w:t>
                            </w:r>
                          </w:p>
                        </w:txbxContent>
                      </wps:txbx>
                      <wps:bodyPr rot="0" vert="horz" wrap="square" lIns="91440" tIns="45720" rIns="91440" bIns="45720" anchor="t" anchorCtr="0" upright="1">
                        <a:spAutoFit/>
                      </wps:bodyPr>
                    </wps:wsp>
                  </a:graphicData>
                </a:graphic>
              </wp:anchor>
            </w:drawing>
          </mc:Choice>
          <mc:Fallback>
            <w:pict>
              <v:shape id="Text Box 2" o:spid="_x0000_s1026" o:spt="202" type="#_x0000_t202" style="position:absolute;left:0pt;margin-left:296.05pt;margin-top:36.65pt;height:62.4pt;width:291.1pt;mso-position-horizontal-relative:page;mso-position-vertical-relative:page;z-index:251659264;mso-width-relative:page;mso-height-relative:page;" filled="f" stroked="f" coordsize="21600,21600" o:gfxdata="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6dfju2AAAAAsBAAAPAAAAAAAAAAEAIAAAACIAAABk&#10;cnMvZG93bnJldi54bWxQSwECFAAUAAAACACHTuJA6QXcpAYCAAAUBAAADgAAAAAAAAABACAAAAAn&#10;AQAAZHJzL2Uyb0RvYy54bWxQSwUGAAAAAAYABgBZAQAAnwUAAAAA&#10;">
                <v:fill on="f" focussize="0,0"/>
                <v:stroke on="f"/>
                <v:imagedata o:title=""/>
                <o:lock v:ext="edit" aspectratio="f"/>
                <v:textbox style="mso-fit-shape-to-text:t;">
                  <w:txbxContent>
                    <w:p>
                      <w:pPr>
                        <w:pStyle w:val="29"/>
                        <w:shd w:val="clear"/>
                        <w:wordWrap w:val="0"/>
                        <w:ind w:right="471" w:firstLine="626" w:firstLineChars="50"/>
                        <w:jc w:val="both"/>
                        <w:rPr>
                          <w:rFonts w:eastAsia="方正小标宋_GBK"/>
                          <w:sz w:val="84"/>
                          <w:szCs w:val="84"/>
                        </w:rPr>
                      </w:pPr>
                      <w:r>
                        <w:rPr>
                          <w:rFonts w:eastAsia="方正小标宋_GBK"/>
                          <w:szCs w:val="84"/>
                        </w:rPr>
                        <w:t>DB3205</w:t>
                      </w:r>
                    </w:p>
                  </w:txbxContent>
                </v:textbox>
              </v:shape>
            </w:pict>
          </mc:Fallback>
        </mc:AlternateContent>
      </w:r>
      <w:r>
        <w:rPr>
          <w:rFonts w:ascii="黑体" w:hAnsi="黑体" w:eastAsia="黑体" w:cs="Times New Roman"/>
        </w:rPr>
        <w:t xml:space="preserve">ICS </w:t>
      </w:r>
      <w:r>
        <w:rPr>
          <w:rFonts w:hint="eastAsia" w:ascii="黑体" w:hAnsi="黑体" w:eastAsia="黑体" w:cs="Times New Roman"/>
          <w:lang w:val="en-US" w:eastAsia="zh-CN"/>
        </w:rPr>
        <w:t>07</w:t>
      </w:r>
      <w:r>
        <w:rPr>
          <w:rFonts w:ascii="黑体" w:hAnsi="黑体" w:eastAsia="黑体" w:cs="Times New Roman"/>
        </w:rPr>
        <w:t>.</w:t>
      </w:r>
      <w:r>
        <w:rPr>
          <w:rFonts w:hint="eastAsia" w:ascii="黑体" w:hAnsi="黑体" w:eastAsia="黑体" w:cs="Times New Roman"/>
          <w:lang w:val="en-US" w:eastAsia="zh-CN"/>
        </w:rPr>
        <w:t>040</w:t>
      </w:r>
    </w:p>
    <w:p>
      <w:pPr>
        <w:rPr>
          <w:rFonts w:ascii="黑体" w:hAnsi="黑体" w:eastAsia="黑体" w:cs="Times New Roman"/>
        </w:rPr>
      </w:pPr>
      <w:r>
        <w:rPr>
          <w:rFonts w:ascii="黑体" w:hAnsi="黑体" w:eastAsia="黑体" w:cs="Times New Roman"/>
        </w:rPr>
        <w:t xml:space="preserve">CCS </w:t>
      </w:r>
      <w:r>
        <w:rPr>
          <w:rFonts w:hint="eastAsia" w:ascii="黑体" w:hAnsi="黑体" w:eastAsia="黑体" w:cs="Times New Roman"/>
          <w:lang w:val="en-US" w:eastAsia="zh-CN"/>
        </w:rPr>
        <w:t>A</w:t>
      </w:r>
      <w:r>
        <w:rPr>
          <w:rFonts w:ascii="黑体" w:hAnsi="黑体" w:eastAsia="黑体" w:cs="Times New Roman"/>
        </w:rPr>
        <w:t xml:space="preserve"> </w:t>
      </w:r>
      <w:r>
        <w:rPr>
          <w:rFonts w:hint="eastAsia" w:ascii="黑体" w:hAnsi="黑体" w:eastAsia="黑体" w:cs="Times New Roman"/>
          <w:lang w:val="en-US" w:eastAsia="zh-CN"/>
        </w:rPr>
        <w:t>78</w:t>
      </w:r>
    </w:p>
    <w:p>
      <w:pPr>
        <w:rPr>
          <w:rFonts w:ascii="黑体" w:hAnsi="黑体" w:eastAsia="黑体"/>
        </w:rPr>
      </w:pPr>
    </w:p>
    <w:p>
      <w:pPr>
        <w:autoSpaceDE w:val="0"/>
        <w:autoSpaceDN w:val="0"/>
        <w:adjustRightInd w:val="0"/>
        <w:jc w:val="distribute"/>
        <w:rPr>
          <w:rFonts w:ascii="方正小标宋_GBK" w:eastAsia="方正小标宋_GBK" w:cs="Dotum,Bold"/>
          <w:bCs/>
          <w:snapToGrid w:val="0"/>
          <w:kern w:val="0"/>
          <w:sz w:val="52"/>
          <w:szCs w:val="52"/>
        </w:rPr>
      </w:pPr>
      <w:r>
        <w:rPr>
          <w:rFonts w:ascii="黑体" w:hAnsi="黑体" w:eastAsia="黑体"/>
        </w:rPr>
        <mc:AlternateContent>
          <mc:Choice Requires="wps">
            <w:drawing>
              <wp:anchor distT="0" distB="0" distL="114300" distR="114300" simplePos="0" relativeHeight="251662336" behindDoc="0" locked="0" layoutInCell="1" allowOverlap="1">
                <wp:simplePos x="0" y="0"/>
                <wp:positionH relativeFrom="column">
                  <wp:posOffset>80645</wp:posOffset>
                </wp:positionH>
                <wp:positionV relativeFrom="topMargin">
                  <wp:posOffset>1181100</wp:posOffset>
                </wp:positionV>
                <wp:extent cx="6120130" cy="615950"/>
                <wp:effectExtent l="0" t="0" r="0" b="0"/>
                <wp:wrapNone/>
                <wp:docPr id="3" name="Text Box 18"/>
                <wp:cNvGraphicFramePr/>
                <a:graphic xmlns:a="http://schemas.openxmlformats.org/drawingml/2006/main">
                  <a:graphicData uri="http://schemas.microsoft.com/office/word/2010/wordprocessingShape">
                    <wps:wsp>
                      <wps:cNvSpPr txBox="1">
                        <a:spLocks noChangeArrowheads="1"/>
                      </wps:cNvSpPr>
                      <wps:spPr bwMode="auto">
                        <a:xfrm>
                          <a:off x="0" y="0"/>
                          <a:ext cx="6120130" cy="615950"/>
                        </a:xfrm>
                        <a:prstGeom prst="rect">
                          <a:avLst/>
                        </a:prstGeom>
                        <a:noFill/>
                        <a:ln w="0">
                          <a:noFill/>
                          <a:miter lim="800000"/>
                        </a:ln>
                      </wps:spPr>
                      <wps:txbx>
                        <w:txbxContent>
                          <w:p>
                            <w:pPr>
                              <w:keepNext w:val="0"/>
                              <w:keepLines w:val="0"/>
                              <w:pageBreakBefore w:val="0"/>
                              <w:widowControl w:val="0"/>
                              <w:kinsoku/>
                              <w:wordWrap/>
                              <w:overflowPunct/>
                              <w:topLinePunct w:val="0"/>
                              <w:bidi w:val="0"/>
                              <w:adjustRightInd/>
                              <w:snapToGrid/>
                              <w:jc w:val="distribute"/>
                              <w:textAlignment w:val="auto"/>
                            </w:pPr>
                            <w:r>
                              <w:rPr>
                                <w:rFonts w:hint="eastAsia" w:ascii="方正小标宋_GBK" w:hAnsi="宋体" w:eastAsia="方正小标宋_GBK" w:cs="SimSun,Bold"/>
                                <w:bCs/>
                                <w:snapToGrid w:val="0"/>
                                <w:kern w:val="0"/>
                                <w:sz w:val="52"/>
                                <w:szCs w:val="52"/>
                              </w:rPr>
                              <w:t>苏州市地方标准</w:t>
                            </w:r>
                          </w:p>
                        </w:txbxContent>
                      </wps:txbx>
                      <wps:bodyPr rot="0" vert="horz" wrap="square" lIns="91440" tIns="45720" rIns="91440" bIns="45720" anchor="t" anchorCtr="0" upright="1">
                        <a:noAutofit/>
                      </wps:bodyPr>
                    </wps:wsp>
                  </a:graphicData>
                </a:graphic>
              </wp:anchor>
            </w:drawing>
          </mc:Choice>
          <mc:Fallback>
            <w:pict>
              <v:shape id="Text Box 18" o:spid="_x0000_s1026" o:spt="202" type="#_x0000_t202" style="position:absolute;left:0pt;margin-left:77.25pt;margin-top:93pt;height:48.5pt;width:481.9pt;mso-position-horizontal-relative:page;mso-position-vertical-relative:page;z-index:251662336;mso-width-relative:page;mso-height-relative:page;" filled="f" stroked="f" coordsize="21600,21600" o:gfxdata="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KeonEPYAAAACgEAAA8A&#10;AAAAAAAAAQAgAAAAIgAAAGRycy9kb3ducmV2LnhtbFBLAQIUABQAAAAIAIdO4kD2AeosFwIAADIE&#10;AAAOAAAAAAAAAAEAIAAAACcBAABkcnMvZTJvRG9jLnhtbFBLBQYAAAAABgAGAFkBAACwBQAAAAA=&#10;">
                <v:fill on="f" focussize="0,0"/>
                <v:stroke on="f" weight="0pt" miterlimit="8" joinstyle="miter"/>
                <v:imagedata o:title=""/>
                <o:lock v:ext="edit" aspectratio="f"/>
                <v:textbox>
                  <w:txbxContent>
                    <w:p>
                      <w:pPr>
                        <w:keepNext w:val="0"/>
                        <w:keepLines w:val="0"/>
                        <w:pageBreakBefore w:val="0"/>
                        <w:widowControl w:val="0"/>
                        <w:kinsoku/>
                        <w:wordWrap/>
                        <w:overflowPunct/>
                        <w:topLinePunct w:val="0"/>
                        <w:bidi w:val="0"/>
                        <w:adjustRightInd/>
                        <w:snapToGrid/>
                        <w:jc w:val="distribute"/>
                        <w:textAlignment w:val="auto"/>
                      </w:pPr>
                      <w:r>
                        <w:rPr>
                          <w:rFonts w:hint="eastAsia" w:ascii="方正小标宋_GBK" w:hAnsi="宋体" w:eastAsia="方正小标宋_GBK" w:cs="SimSun,Bold"/>
                          <w:bCs/>
                          <w:snapToGrid w:val="0"/>
                          <w:kern w:val="0"/>
                          <w:sz w:val="52"/>
                          <w:szCs w:val="52"/>
                        </w:rPr>
                        <w:t>苏州市地方标准</w:t>
                      </w:r>
                    </w:p>
                  </w:txbxContent>
                </v:textbox>
              </v:shape>
            </w:pict>
          </mc:Fallback>
        </mc:AlternateContent>
      </w:r>
    </w:p>
    <w:p>
      <w:pPr>
        <w:spacing w:line="510" w:lineRule="exact"/>
        <w:rPr>
          <w:rFonts w:ascii="黑体" w:hAnsi="黑体" w:eastAsia="黑体"/>
          <w:kern w:val="0"/>
          <w:sz w:val="28"/>
          <w:szCs w:val="28"/>
        </w:rPr>
      </w:pPr>
      <w:r>
        <w:rPr>
          <w:rFonts w:hint="eastAsia" w:ascii="黑体" w:hAnsi="黑体" w:eastAsia="黑体"/>
        </w:rPr>
        <w:t xml:space="preserve">                                                                   </w:t>
      </w:r>
      <w:r>
        <w:rPr>
          <w:rFonts w:hint="eastAsia" w:ascii="黑体" w:hAnsi="黑体" w:eastAsia="黑体"/>
          <w:kern w:val="0"/>
          <w:sz w:val="28"/>
          <w:szCs w:val="28"/>
        </w:rPr>
        <w:t xml:space="preserve">  </w:t>
      </w:r>
    </w:p>
    <w:p>
      <w:pPr>
        <w:autoSpaceDE w:val="0"/>
        <w:autoSpaceDN w:val="0"/>
        <w:adjustRightInd w:val="0"/>
        <w:spacing w:line="3686" w:lineRule="exact"/>
        <w:jc w:val="center"/>
        <w:rPr>
          <w:rFonts w:ascii="黑体" w:hAnsi="黑体" w:eastAsia="黑体"/>
        </w:rPr>
      </w:pPr>
      <w:r>
        <w:rPr>
          <w:rFonts w:ascii="黑体" w:hAnsi="黑体" w:eastAsia="黑体"/>
        </w:rPr>
        <mc:AlternateContent>
          <mc:Choice Requires="wps">
            <w:drawing>
              <wp:anchor distT="0" distB="0" distL="114300" distR="114300" simplePos="0" relativeHeight="251663360" behindDoc="0" locked="0" layoutInCell="1" allowOverlap="1">
                <wp:simplePos x="0" y="0"/>
                <wp:positionH relativeFrom="rightMargin">
                  <wp:posOffset>-1712595</wp:posOffset>
                </wp:positionH>
                <wp:positionV relativeFrom="topMargin">
                  <wp:posOffset>2238375</wp:posOffset>
                </wp:positionV>
                <wp:extent cx="1927225" cy="304800"/>
                <wp:effectExtent l="0" t="0" r="0" b="0"/>
                <wp:wrapNone/>
                <wp:docPr id="6" name="Text Box 19"/>
                <wp:cNvGraphicFramePr/>
                <a:graphic xmlns:a="http://schemas.openxmlformats.org/drawingml/2006/main">
                  <a:graphicData uri="http://schemas.microsoft.com/office/word/2010/wordprocessingShape">
                    <wps:wsp>
                      <wps:cNvSpPr txBox="1">
                        <a:spLocks noChangeArrowheads="1"/>
                      </wps:cNvSpPr>
                      <wps:spPr bwMode="auto">
                        <a:xfrm>
                          <a:off x="0" y="0"/>
                          <a:ext cx="1927344" cy="304800"/>
                        </a:xfrm>
                        <a:prstGeom prst="rect">
                          <a:avLst/>
                        </a:prstGeom>
                        <a:noFill/>
                        <a:ln w="0">
                          <a:noFill/>
                          <a:miter lim="800000"/>
                        </a:ln>
                      </wps:spPr>
                      <wps:txbx>
                        <w:txbxContent>
                          <w:p>
                            <w:pPr>
                              <w:keepNext w:val="0"/>
                              <w:keepLines w:val="0"/>
                              <w:pageBreakBefore w:val="0"/>
                              <w:widowControl w:val="0"/>
                              <w:kinsoku/>
                              <w:wordWrap/>
                              <w:overflowPunct/>
                              <w:topLinePunct w:val="0"/>
                              <w:bidi w:val="0"/>
                              <w:adjustRightInd/>
                              <w:snapToGrid/>
                              <w:spacing w:line="400" w:lineRule="exact"/>
                              <w:jc w:val="left"/>
                              <w:textAlignment w:val="auto"/>
                              <w:rPr>
                                <w:rFonts w:hint="default" w:ascii="黑体" w:hAnsi="黑体" w:eastAsia="黑体"/>
                                <w:kern w:val="0"/>
                                <w:sz w:val="28"/>
                                <w:szCs w:val="28"/>
                                <w:lang w:val="en-US" w:eastAsia="zh-CN"/>
                              </w:rPr>
                            </w:pPr>
                            <w:r>
                              <w:rPr>
                                <w:rFonts w:ascii="黑体" w:hAnsi="黑体" w:eastAsia="黑体"/>
                                <w:kern w:val="0"/>
                                <w:sz w:val="28"/>
                                <w:szCs w:val="28"/>
                              </w:rPr>
                              <w:t>DB3205/T XXX</w:t>
                            </w:r>
                            <w:r>
                              <w:rPr>
                                <w:rFonts w:hint="eastAsia" w:ascii="黑体" w:hAnsi="黑体" w:eastAsia="黑体"/>
                                <w:kern w:val="0"/>
                                <w:sz w:val="28"/>
                                <w:szCs w:val="28"/>
                              </w:rPr>
                              <w:t>—</w:t>
                            </w:r>
                            <w:r>
                              <w:rPr>
                                <w:rFonts w:hint="eastAsia" w:ascii="黑体" w:hAnsi="黑体" w:eastAsia="黑体"/>
                                <w:kern w:val="0"/>
                                <w:sz w:val="28"/>
                                <w:szCs w:val="28"/>
                                <w:lang w:val="en-US" w:eastAsia="zh-CN"/>
                              </w:rPr>
                              <w:t>2024</w:t>
                            </w:r>
                          </w:p>
                        </w:txbxContent>
                      </wps:txbx>
                      <wps:bodyPr rot="0" vert="horz" wrap="square" lIns="91440" tIns="45720" rIns="91440" bIns="45720" anchor="t" anchorCtr="0" upright="1">
                        <a:noAutofit/>
                      </wps:bodyPr>
                    </wps:wsp>
                  </a:graphicData>
                </a:graphic>
              </wp:anchor>
            </w:drawing>
          </mc:Choice>
          <mc:Fallback>
            <w:pict>
              <v:shape id="Text Box 19" o:spid="_x0000_s1026" o:spt="202" type="#_x0000_t202" style="position:absolute;left:0pt;margin-left:417.9pt;margin-top:176.25pt;height:24pt;width:151.75pt;mso-position-horizontal-relative:page;mso-position-vertical-relative:page;z-index:251663360;mso-width-relative:page;mso-height-relative:page;" filled="f" stroked="f" coordsize="21600,21600" o:gfxdata="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q+dd+2wAAAAsB&#10;AAAPAAAAAAAAAAEAIAAAACIAAABkcnMvZG93bnJldi54bWxQSwECFAAUAAAACACHTuJAzkxZKRgC&#10;AAAyBAAADgAAAAAAAAABACAAAAAqAQAAZHJzL2Uyb0RvYy54bWxQSwUGAAAAAAYABgBZAQAAtAUA&#10;AAAA&#10;">
                <v:fill on="f" focussize="0,0"/>
                <v:stroke on="f" weight="0pt" miterlimit="8" joinstyle="miter"/>
                <v:imagedata o:title=""/>
                <o:lock v:ext="edit" aspectratio="f"/>
                <v:textbox>
                  <w:txbxContent>
                    <w:p>
                      <w:pPr>
                        <w:keepNext w:val="0"/>
                        <w:keepLines w:val="0"/>
                        <w:pageBreakBefore w:val="0"/>
                        <w:widowControl w:val="0"/>
                        <w:kinsoku/>
                        <w:wordWrap/>
                        <w:overflowPunct/>
                        <w:topLinePunct w:val="0"/>
                        <w:bidi w:val="0"/>
                        <w:adjustRightInd/>
                        <w:snapToGrid/>
                        <w:spacing w:line="400" w:lineRule="exact"/>
                        <w:jc w:val="left"/>
                        <w:textAlignment w:val="auto"/>
                        <w:rPr>
                          <w:rFonts w:hint="default" w:ascii="黑体" w:hAnsi="黑体" w:eastAsia="黑体"/>
                          <w:kern w:val="0"/>
                          <w:sz w:val="28"/>
                          <w:szCs w:val="28"/>
                          <w:lang w:val="en-US" w:eastAsia="zh-CN"/>
                        </w:rPr>
                      </w:pPr>
                      <w:r>
                        <w:rPr>
                          <w:rFonts w:ascii="黑体" w:hAnsi="黑体" w:eastAsia="黑体"/>
                          <w:kern w:val="0"/>
                          <w:sz w:val="28"/>
                          <w:szCs w:val="28"/>
                        </w:rPr>
                        <w:t>DB3205/T XXX</w:t>
                      </w:r>
                      <w:r>
                        <w:rPr>
                          <w:rFonts w:hint="eastAsia" w:ascii="黑体" w:hAnsi="黑体" w:eastAsia="黑体"/>
                          <w:kern w:val="0"/>
                          <w:sz w:val="28"/>
                          <w:szCs w:val="28"/>
                        </w:rPr>
                        <w:t>—</w:t>
                      </w:r>
                      <w:r>
                        <w:rPr>
                          <w:rFonts w:hint="eastAsia" w:ascii="黑体" w:hAnsi="黑体" w:eastAsia="黑体"/>
                          <w:kern w:val="0"/>
                          <w:sz w:val="28"/>
                          <w:szCs w:val="28"/>
                          <w:lang w:val="en-US" w:eastAsia="zh-CN"/>
                        </w:rPr>
                        <w:t>2024</w:t>
                      </w:r>
                    </w:p>
                  </w:txbxContent>
                </v:textbox>
              </v:shape>
            </w:pict>
          </mc:Fallback>
        </mc:AlternateContent>
      </w:r>
      <w:r>
        <w:rPr>
          <w:rFonts w:ascii="黑体" w:hAnsi="黑体" w:eastAsia="黑体"/>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topMargin">
                  <wp:posOffset>2708910</wp:posOffset>
                </wp:positionV>
                <wp:extent cx="6115050" cy="0"/>
                <wp:effectExtent l="14605" t="13335" r="13970" b="15240"/>
                <wp:wrapNone/>
                <wp:docPr id="5" name="AutoShape 13"/>
                <wp:cNvGraphicFramePr/>
                <a:graphic xmlns:a="http://schemas.openxmlformats.org/drawingml/2006/main">
                  <a:graphicData uri="http://schemas.microsoft.com/office/word/2010/wordprocessingShape">
                    <wps:wsp>
                      <wps:cNvCnPr>
                        <a:cxnSpLocks noChangeShapeType="1"/>
                      </wps:cNvCnPr>
                      <wps:spPr bwMode="auto">
                        <a:xfrm>
                          <a:off x="0" y="0"/>
                          <a:ext cx="6115050" cy="0"/>
                        </a:xfrm>
                        <a:prstGeom prst="straightConnector1">
                          <a:avLst/>
                        </a:prstGeom>
                        <a:noFill/>
                        <a:ln w="12700">
                          <a:solidFill>
                            <a:srgbClr val="000000"/>
                          </a:solidFill>
                          <a:round/>
                        </a:ln>
                      </wps:spPr>
                      <wps:bodyPr/>
                    </wps:wsp>
                  </a:graphicData>
                </a:graphic>
              </wp:anchor>
            </w:drawing>
          </mc:Choice>
          <mc:Fallback>
            <w:pict>
              <v:shape id="AutoShape 13" o:spid="_x0000_s1026" o:spt="32" type="#_x0000_t32" style="position:absolute;left:0pt;margin-left:70.9pt;margin-top:213.3pt;height:0pt;width:481.5pt;mso-position-horizontal-relative:page;mso-position-vertical-relative:page;z-index:251660288;mso-width-relative:page;mso-height-relative:page;" filled="f" stroked="t" coordsize="21600,21600" o:gfxdata="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Iy4Wx0wAAAAgBAAAPAAAAAAAAAAEAIAAAACIA&#10;AABkcnMvZG93bnJldi54bWxQSwECFAAUAAAACACHTuJARwVqgNUBAAC0AwAADgAAAAAAAAABACAA&#10;AAAiAQAAZHJzL2Uyb0RvYy54bWxQSwUGAAAAAAYABgBZAQAAaQUAAAAA&#10;">
                <v:fill on="f" focussize="0,0"/>
                <v:stroke weight="1pt" color="#000000" joinstyle="round"/>
                <v:imagedata o:title=""/>
                <o:lock v:ext="edit" aspectratio="f"/>
              </v:shape>
            </w:pict>
          </mc:Fallback>
        </mc:AlternateContent>
      </w:r>
      <w:r>
        <w:rPr>
          <w:rFonts w:ascii="黑体" w:hAnsi="黑体" w:eastAsia="黑体"/>
        </w:rPr>
        <mc:AlternateContent>
          <mc:Choice Requires="wps">
            <w:drawing>
              <wp:anchor distT="0" distB="0" distL="114300" distR="114300" simplePos="0" relativeHeight="251661312" behindDoc="0" locked="0" layoutInCell="1" allowOverlap="1">
                <wp:simplePos x="0" y="0"/>
                <wp:positionH relativeFrom="column">
                  <wp:posOffset>80645</wp:posOffset>
                </wp:positionH>
                <wp:positionV relativeFrom="topMargin">
                  <wp:posOffset>4140835</wp:posOffset>
                </wp:positionV>
                <wp:extent cx="5924550" cy="3248025"/>
                <wp:effectExtent l="0" t="0" r="0" b="0"/>
                <wp:wrapNone/>
                <wp:docPr id="4" name="Text Box 17"/>
                <wp:cNvGraphicFramePr/>
                <a:graphic xmlns:a="http://schemas.openxmlformats.org/drawingml/2006/main">
                  <a:graphicData uri="http://schemas.microsoft.com/office/word/2010/wordprocessingShape">
                    <wps:wsp>
                      <wps:cNvSpPr txBox="1">
                        <a:spLocks noChangeArrowheads="1"/>
                      </wps:cNvSpPr>
                      <wps:spPr bwMode="auto">
                        <a:xfrm>
                          <a:off x="0" y="0"/>
                          <a:ext cx="5924550" cy="3248025"/>
                        </a:xfrm>
                        <a:prstGeom prst="rect">
                          <a:avLst/>
                        </a:prstGeom>
                        <a:noFill/>
                        <a:ln w="0">
                          <a:noFill/>
                          <a:miter lim="800000"/>
                        </a:ln>
                      </wps:spPr>
                      <wps:txbx>
                        <w:txbxContent>
                          <w:p>
                            <w:pPr>
                              <w:keepNext w:val="0"/>
                              <w:keepLines w:val="0"/>
                              <w:pageBreakBefore w:val="0"/>
                              <w:widowControl w:val="0"/>
                              <w:kinsoku/>
                              <w:wordWrap/>
                              <w:overflowPunct/>
                              <w:topLinePunct w:val="0"/>
                              <w:bidi w:val="0"/>
                              <w:adjustRightInd/>
                              <w:snapToGrid/>
                              <w:jc w:val="center"/>
                              <w:textAlignment w:val="auto"/>
                              <w:rPr>
                                <w:rFonts w:hint="eastAsia" w:ascii="黑体" w:hAnsi="宋体" w:eastAsia="黑体"/>
                                <w:sz w:val="52"/>
                                <w:szCs w:val="52"/>
                                <w:lang w:val="en-US" w:eastAsia="zh-CN"/>
                              </w:rPr>
                            </w:pPr>
                            <w:r>
                              <w:rPr>
                                <w:rFonts w:hint="eastAsia" w:ascii="黑体" w:hAnsi="宋体" w:eastAsia="黑体"/>
                                <w:sz w:val="52"/>
                                <w:szCs w:val="52"/>
                                <w:lang w:val="en-US" w:eastAsia="zh-CN"/>
                              </w:rPr>
                              <w:t>地下空间地籍调查规范</w:t>
                            </w:r>
                          </w:p>
                          <w:p>
                            <w:pPr>
                              <w:keepNext w:val="0"/>
                              <w:keepLines w:val="0"/>
                              <w:pageBreakBefore w:val="0"/>
                              <w:widowControl w:val="0"/>
                              <w:kinsoku/>
                              <w:wordWrap/>
                              <w:overflowPunct/>
                              <w:topLinePunct w:val="0"/>
                              <w:bidi w:val="0"/>
                              <w:adjustRightInd/>
                              <w:snapToGrid/>
                              <w:jc w:val="center"/>
                              <w:textAlignment w:val="auto"/>
                              <w:rPr>
                                <w:rStyle w:val="44"/>
                                <w:rFonts w:hint="default" w:ascii="黑体" w:hAnsi="黑体" w:eastAsia="黑体"/>
                                <w:kern w:val="0"/>
                                <w:sz w:val="28"/>
                                <w:szCs w:val="21"/>
                                <w:lang w:val="en-US" w:eastAsia="zh-CN"/>
                              </w:rPr>
                            </w:pPr>
                            <w:r>
                              <w:rPr>
                                <w:rFonts w:hint="eastAsia" w:ascii="黑体" w:hAnsi="黑体" w:eastAsia="黑体"/>
                                <w:kern w:val="0"/>
                                <w:sz w:val="28"/>
                                <w:szCs w:val="21"/>
                                <w:lang w:val="en-US" w:eastAsia="zh-CN"/>
                              </w:rPr>
                              <w:t>Specification of cadastral survey of underground space</w:t>
                            </w:r>
                          </w:p>
                          <w:p>
                            <w:pPr>
                              <w:keepNext w:val="0"/>
                              <w:keepLines w:val="0"/>
                              <w:pageBreakBefore w:val="0"/>
                              <w:widowControl w:val="0"/>
                              <w:kinsoku/>
                              <w:wordWrap/>
                              <w:overflowPunct/>
                              <w:topLinePunct w:val="0"/>
                              <w:bidi w:val="0"/>
                              <w:adjustRightInd/>
                              <w:snapToGrid/>
                              <w:jc w:val="center"/>
                              <w:textAlignment w:val="auto"/>
                              <w:rPr>
                                <w:rFonts w:asciiTheme="minorEastAsia" w:hAnsiTheme="minorEastAsia"/>
                                <w:sz w:val="24"/>
                              </w:rPr>
                            </w:pPr>
                            <w:r>
                              <w:rPr>
                                <w:rFonts w:hint="eastAsia" w:asciiTheme="minorEastAsia" w:hAnsiTheme="minorEastAsia"/>
                                <w:sz w:val="24"/>
                              </w:rPr>
                              <w:t>（报批稿）</w:t>
                            </w:r>
                          </w:p>
                        </w:txbxContent>
                      </wps:txbx>
                      <wps:bodyPr rot="0" vert="horz" wrap="square" lIns="91440" tIns="45720" rIns="91440" bIns="45720" anchor="t" anchorCtr="0" upright="1">
                        <a:noAutofit/>
                      </wps:bodyPr>
                    </wps:wsp>
                  </a:graphicData>
                </a:graphic>
              </wp:anchor>
            </w:drawing>
          </mc:Choice>
          <mc:Fallback>
            <w:pict>
              <v:shape id="Text Box 17" o:spid="_x0000_s1026" o:spt="202" type="#_x0000_t202" style="position:absolute;left:0pt;margin-left:77.25pt;margin-top:326.05pt;height:255.75pt;width:466.5pt;mso-position-horizontal-relative:page;mso-position-vertical-relative:page;z-index:251661312;mso-width-relative:page;mso-height-relative:page;" filled="f" stroked="f" coordsize="21600,21600" o:gfxdata="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HMG462QAAAAsBAAAP&#10;AAAAAAAAAAEAIAAAACIAAABkcnMvZG93bnJldi54bWxQSwECFAAUAAAACACHTuJAwAXEWxcCAAAz&#10;BAAADgAAAAAAAAABACAAAAAoAQAAZHJzL2Uyb0RvYy54bWxQSwUGAAAAAAYABgBZAQAAsQUAAAAA&#10;">
                <v:fill on="f" focussize="0,0"/>
                <v:stroke on="f" weight="0pt" miterlimit="8" joinstyle="miter"/>
                <v:imagedata o:title=""/>
                <o:lock v:ext="edit" aspectratio="f"/>
                <v:textbox>
                  <w:txbxContent>
                    <w:p>
                      <w:pPr>
                        <w:keepNext w:val="0"/>
                        <w:keepLines w:val="0"/>
                        <w:pageBreakBefore w:val="0"/>
                        <w:widowControl w:val="0"/>
                        <w:kinsoku/>
                        <w:wordWrap/>
                        <w:overflowPunct/>
                        <w:topLinePunct w:val="0"/>
                        <w:bidi w:val="0"/>
                        <w:adjustRightInd/>
                        <w:snapToGrid/>
                        <w:jc w:val="center"/>
                        <w:textAlignment w:val="auto"/>
                        <w:rPr>
                          <w:rFonts w:hint="eastAsia" w:ascii="黑体" w:hAnsi="宋体" w:eastAsia="黑体"/>
                          <w:sz w:val="52"/>
                          <w:szCs w:val="52"/>
                          <w:lang w:val="en-US" w:eastAsia="zh-CN"/>
                        </w:rPr>
                      </w:pPr>
                      <w:r>
                        <w:rPr>
                          <w:rFonts w:hint="eastAsia" w:ascii="黑体" w:hAnsi="宋体" w:eastAsia="黑体"/>
                          <w:sz w:val="52"/>
                          <w:szCs w:val="52"/>
                          <w:lang w:val="en-US" w:eastAsia="zh-CN"/>
                        </w:rPr>
                        <w:t>地下空间地籍调查规范</w:t>
                      </w:r>
                    </w:p>
                    <w:p>
                      <w:pPr>
                        <w:keepNext w:val="0"/>
                        <w:keepLines w:val="0"/>
                        <w:pageBreakBefore w:val="0"/>
                        <w:widowControl w:val="0"/>
                        <w:kinsoku/>
                        <w:wordWrap/>
                        <w:overflowPunct/>
                        <w:topLinePunct w:val="0"/>
                        <w:bidi w:val="0"/>
                        <w:adjustRightInd/>
                        <w:snapToGrid/>
                        <w:jc w:val="center"/>
                        <w:textAlignment w:val="auto"/>
                        <w:rPr>
                          <w:rStyle w:val="44"/>
                          <w:rFonts w:hint="default" w:ascii="黑体" w:hAnsi="黑体" w:eastAsia="黑体"/>
                          <w:kern w:val="0"/>
                          <w:sz w:val="28"/>
                          <w:szCs w:val="21"/>
                          <w:lang w:val="en-US" w:eastAsia="zh-CN"/>
                        </w:rPr>
                      </w:pPr>
                      <w:r>
                        <w:rPr>
                          <w:rFonts w:hint="eastAsia" w:ascii="黑体" w:hAnsi="黑体" w:eastAsia="黑体"/>
                          <w:kern w:val="0"/>
                          <w:sz w:val="28"/>
                          <w:szCs w:val="21"/>
                          <w:lang w:val="en-US" w:eastAsia="zh-CN"/>
                        </w:rPr>
                        <w:t>Specification of cadastral survey of underground space</w:t>
                      </w:r>
                    </w:p>
                    <w:p>
                      <w:pPr>
                        <w:keepNext w:val="0"/>
                        <w:keepLines w:val="0"/>
                        <w:pageBreakBefore w:val="0"/>
                        <w:widowControl w:val="0"/>
                        <w:kinsoku/>
                        <w:wordWrap/>
                        <w:overflowPunct/>
                        <w:topLinePunct w:val="0"/>
                        <w:bidi w:val="0"/>
                        <w:adjustRightInd/>
                        <w:snapToGrid/>
                        <w:jc w:val="center"/>
                        <w:textAlignment w:val="auto"/>
                        <w:rPr>
                          <w:rFonts w:asciiTheme="minorEastAsia" w:hAnsiTheme="minorEastAsia"/>
                          <w:sz w:val="24"/>
                        </w:rPr>
                      </w:pPr>
                      <w:r>
                        <w:rPr>
                          <w:rFonts w:hint="eastAsia" w:asciiTheme="minorEastAsia" w:hAnsiTheme="minorEastAsia"/>
                          <w:sz w:val="24"/>
                        </w:rPr>
                        <w:t>（报批稿）</w:t>
                      </w:r>
                    </w:p>
                  </w:txbxContent>
                </v:textbox>
              </v:shape>
            </w:pict>
          </mc:Fallback>
        </mc:AlternateContent>
      </w: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r>
        <w:rPr>
          <w:rFonts w:hint="eastAsia" w:ascii="黑体" w:hAnsi="黑体" w:eastAsia="黑体"/>
        </w:rPr>
        <w:t xml:space="preserve">                                                                                          </w:t>
      </w:r>
    </w:p>
    <w:p>
      <w:pPr>
        <w:pStyle w:val="2"/>
      </w:pPr>
    </w:p>
    <w:p>
      <w:pPr>
        <w:pStyle w:val="2"/>
      </w:pPr>
    </w:p>
    <w:p>
      <w:pPr>
        <w:pStyle w:val="2"/>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sz w:val="28"/>
          <w:szCs w:val="28"/>
        </w:rPr>
      </w:pPr>
      <w:r>
        <w:rPr>
          <w:rFonts w:hint="default" w:ascii="黑体" w:hAnsi="黑体" w:eastAsia="黑体"/>
          <w:sz w:val="28"/>
          <w:szCs w:val="28"/>
          <w:lang w:val="en-US"/>
        </w:rPr>
        <mc:AlternateContent>
          <mc:Choice Requires="wps">
            <w:drawing>
              <wp:anchor distT="0" distB="0" distL="114300" distR="114300" simplePos="0" relativeHeight="251664384" behindDoc="0" locked="0" layoutInCell="1" allowOverlap="1">
                <wp:simplePos x="0" y="0"/>
                <wp:positionH relativeFrom="margin">
                  <wp:posOffset>-14605</wp:posOffset>
                </wp:positionH>
                <wp:positionV relativeFrom="topMargin">
                  <wp:posOffset>9133205</wp:posOffset>
                </wp:positionV>
                <wp:extent cx="6115050" cy="0"/>
                <wp:effectExtent l="0" t="0" r="19050" b="19050"/>
                <wp:wrapNone/>
                <wp:docPr id="8" name="AutoShape 13"/>
                <wp:cNvGraphicFramePr/>
                <a:graphic xmlns:a="http://schemas.openxmlformats.org/drawingml/2006/main">
                  <a:graphicData uri="http://schemas.microsoft.com/office/word/2010/wordprocessingShape">
                    <wps:wsp>
                      <wps:cNvCnPr>
                        <a:cxnSpLocks noChangeShapeType="1"/>
                      </wps:cNvCnPr>
                      <wps:spPr bwMode="auto">
                        <a:xfrm>
                          <a:off x="0" y="0"/>
                          <a:ext cx="6115050" cy="0"/>
                        </a:xfrm>
                        <a:prstGeom prst="straightConnector1">
                          <a:avLst/>
                        </a:prstGeom>
                        <a:noFill/>
                        <a:ln w="12700">
                          <a:solidFill>
                            <a:srgbClr val="000000"/>
                          </a:solidFill>
                          <a:round/>
                        </a:ln>
                      </wps:spPr>
                      <wps:bodyPr/>
                    </wps:wsp>
                  </a:graphicData>
                </a:graphic>
              </wp:anchor>
            </w:drawing>
          </mc:Choice>
          <mc:Fallback>
            <w:pict>
              <v:shape id="AutoShape 13" o:spid="_x0000_s1026" o:spt="32" type="#_x0000_t32" style="position:absolute;left:0pt;margin-left:69.75pt;margin-top:719.15pt;height:0pt;width:481.5pt;mso-position-horizontal-relative:page;mso-position-vertical-relative:page;z-index:251664384;mso-width-relative:page;mso-height-relative:page;" filled="f" stroked="t" coordsize="21600,21600" o:gfxdata="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vMgXH1gAAAAwBAAAPAAAAAAAAAAEAIAAA&#10;ACIAAABkcnMvZG93bnJldi54bWxQSwECFAAUAAAACACHTuJA+/4xqtUBAAC0AwAADgAAAAAAAAAB&#10;ACAAAAAlAQAAZHJzL2Uyb0RvYy54bWxQSwUGAAAAAAYABgBZAQAAbAUAAAAA&#10;">
                <v:fill on="f" focussize="0,0"/>
                <v:stroke weight="1pt" color="#000000" joinstyle="round"/>
                <v:imagedata o:title=""/>
                <o:lock v:ext="edit" aspectratio="f"/>
              </v:shape>
            </w:pict>
          </mc:Fallback>
        </mc:AlternateContent>
      </w:r>
      <w:r>
        <w:rPr>
          <w:rFonts w:hint="eastAsia" w:ascii="黑体" w:hAnsi="黑体" w:eastAsia="黑体"/>
          <w:sz w:val="28"/>
          <w:szCs w:val="28"/>
          <w:lang w:val="en-US" w:eastAsia="zh-CN"/>
        </w:rPr>
        <w:t>2024</w:t>
      </w:r>
      <w:r>
        <w:rPr>
          <w:rFonts w:hint="eastAsia" w:ascii="黑体" w:hAnsi="黑体" w:eastAsia="黑体"/>
          <w:sz w:val="28"/>
          <w:szCs w:val="28"/>
        </w:rPr>
        <w:t xml:space="preserve">-XX-XX发布                                       </w:t>
      </w:r>
      <w:r>
        <w:rPr>
          <w:rFonts w:hint="eastAsia" w:ascii="黑体" w:hAnsi="黑体" w:eastAsia="黑体"/>
          <w:sz w:val="28"/>
          <w:szCs w:val="28"/>
          <w:lang w:val="en-US" w:eastAsia="zh-CN"/>
        </w:rPr>
        <w:t>2024</w:t>
      </w:r>
      <w:r>
        <w:rPr>
          <w:rFonts w:hint="eastAsia" w:ascii="黑体" w:hAnsi="黑体" w:eastAsia="黑体"/>
          <w:sz w:val="28"/>
          <w:szCs w:val="28"/>
        </w:rPr>
        <w:t>-XX-XX实施</w:t>
      </w:r>
    </w:p>
    <w:p>
      <w:pPr>
        <w:keepNext w:val="0"/>
        <w:keepLines w:val="0"/>
        <w:pageBreakBefore w:val="0"/>
        <w:widowControl w:val="0"/>
        <w:kinsoku/>
        <w:wordWrap/>
        <w:overflowPunct/>
        <w:topLinePunct w:val="0"/>
        <w:autoSpaceDE/>
        <w:autoSpaceDN/>
        <w:bidi w:val="0"/>
        <w:adjustRightInd/>
        <w:snapToGrid/>
        <w:spacing w:line="1247" w:lineRule="exact"/>
        <w:jc w:val="center"/>
        <w:textAlignment w:val="auto"/>
        <w:outlineLvl w:val="9"/>
        <w:rPr>
          <w:rFonts w:hint="eastAsia" w:ascii="黑体" w:hAnsi="黑体" w:eastAsia="黑体"/>
          <w:sz w:val="28"/>
          <w:szCs w:val="28"/>
        </w:rPr>
      </w:pPr>
      <w:bookmarkStart w:id="0" w:name="_Toc18385"/>
      <w:bookmarkStart w:id="1" w:name="_Toc3547"/>
      <w:r>
        <w:rPr>
          <w:rFonts w:hint="eastAsia" w:ascii="方正小标宋_GBK" w:eastAsia="方正小标宋_GBK"/>
          <w:sz w:val="44"/>
          <w:szCs w:val="44"/>
        </w:rPr>
        <w:t>苏州市市场监督管理局</w:t>
      </w:r>
      <w:r>
        <w:rPr>
          <w:rFonts w:hint="eastAsia" w:ascii="方正小标宋_GBK" w:hAnsi="宋体" w:eastAsia="方正小标宋_GBK" w:cs="SimSun,Bold"/>
          <w:bCs/>
          <w:snapToGrid w:val="0"/>
          <w:kern w:val="0"/>
          <w:sz w:val="44"/>
          <w:szCs w:val="52"/>
        </w:rPr>
        <w:t xml:space="preserve">  </w:t>
      </w:r>
      <w:r>
        <w:rPr>
          <w:rFonts w:hint="eastAsia" w:ascii="黑体" w:hAnsi="黑体" w:eastAsia="黑体"/>
          <w:sz w:val="28"/>
          <w:szCs w:val="28"/>
        </w:rPr>
        <w:t>发 布</w:t>
      </w:r>
      <w:bookmarkEnd w:id="0"/>
      <w:bookmarkEnd w:id="1"/>
    </w:p>
    <w:p>
      <w:pPr>
        <w:pStyle w:val="2"/>
        <w:sectPr>
          <w:headerReference r:id="rId3" w:type="default"/>
          <w:pgSz w:w="11906" w:h="16838"/>
          <w:pgMar w:top="567" w:right="851" w:bottom="1134" w:left="1418" w:header="0" w:footer="0" w:gutter="0"/>
          <w:pgBorders>
            <w:top w:val="none" w:sz="0" w:space="0"/>
            <w:left w:val="none" w:sz="0" w:space="0"/>
            <w:bottom w:val="none" w:sz="0" w:space="0"/>
            <w:right w:val="none" w:sz="0" w:space="0"/>
          </w:pgBorders>
          <w:pgNumType w:fmt="upperRoman"/>
          <w:cols w:space="425" w:num="1"/>
          <w:docGrid w:type="lines" w:linePitch="312" w:charSpace="0"/>
        </w:sectPr>
      </w:pPr>
    </w:p>
    <w:p>
      <w:pPr>
        <w:pStyle w:val="2"/>
      </w:pPr>
    </w:p>
    <w:p>
      <w:pPr>
        <w:rPr>
          <w:rFonts w:ascii="黑体" w:hAnsi="黑体" w:eastAsia="黑体"/>
          <w:sz w:val="28"/>
          <w:szCs w:val="28"/>
        </w:rPr>
        <w:sectPr>
          <w:footerReference r:id="rId4" w:type="default"/>
          <w:footerReference r:id="rId5" w:type="even"/>
          <w:pgSz w:w="11906" w:h="16838"/>
          <w:pgMar w:top="567" w:right="851" w:bottom="1134" w:left="1418" w:header="0" w:footer="0" w:gutter="0"/>
          <w:pgBorders>
            <w:top w:val="none" w:sz="0" w:space="0"/>
            <w:left w:val="none" w:sz="0" w:space="0"/>
            <w:bottom w:val="none" w:sz="0" w:space="0"/>
            <w:right w:val="none" w:sz="0" w:space="0"/>
          </w:pgBorders>
          <w:pgNumType w:fmt="upperRoman"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val="0"/>
        <w:spacing w:before="567" w:after="680"/>
        <w:jc w:val="center"/>
        <w:textAlignment w:val="auto"/>
        <w:rPr>
          <w:rFonts w:ascii="黑体" w:hAnsi="黑体" w:eastAsia="黑体"/>
          <w:sz w:val="32"/>
          <w:szCs w:val="32"/>
        </w:rPr>
      </w:pPr>
      <w:r>
        <w:rPr>
          <w:rFonts w:hint="eastAsia" w:ascii="黑体" w:hAnsi="黑体" w:eastAsia="黑体"/>
          <w:sz w:val="32"/>
          <w:szCs w:val="32"/>
        </w:rPr>
        <w:t>目</w:t>
      </w:r>
      <w:r>
        <w:rPr>
          <w:rFonts w:hint="eastAsia" w:ascii="黑体" w:hAnsi="黑体" w:eastAsia="黑体"/>
          <w:bCs/>
          <w:sz w:val="32"/>
          <w:szCs w:val="32"/>
        </w:rPr>
        <w:t xml:space="preserve">    </w:t>
      </w:r>
      <w:r>
        <w:rPr>
          <w:rFonts w:hint="eastAsia" w:ascii="黑体" w:hAnsi="黑体" w:eastAsia="黑体"/>
          <w:sz w:val="32"/>
          <w:szCs w:val="32"/>
        </w:rPr>
        <w:t>次</w:t>
      </w:r>
    </w:p>
    <w:p>
      <w:pPr>
        <w:pStyle w:val="15"/>
        <w:keepNext w:val="0"/>
        <w:keepLines w:val="0"/>
        <w:pageBreakBefore w:val="0"/>
        <w:widowControl w:val="0"/>
        <w:tabs>
          <w:tab w:val="right" w:leader="dot" w:pos="935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TOC \o "1-3" \h \z \u </w:instrText>
      </w:r>
      <w:r>
        <w:rPr>
          <w:rFonts w:hint="eastAsia" w:ascii="宋体" w:hAnsi="宋体" w:eastAsia="宋体" w:cs="宋体"/>
          <w:szCs w:val="21"/>
        </w:rPr>
        <w:fldChar w:fldCharType="separate"/>
      </w:r>
      <w:r>
        <w:rPr>
          <w:rFonts w:hint="eastAsia" w:ascii="宋体" w:hAnsi="宋体" w:eastAsia="宋体" w:cs="宋体"/>
          <w:szCs w:val="21"/>
        </w:rPr>
        <w:fldChar w:fldCharType="begin"/>
      </w:r>
      <w:r>
        <w:rPr>
          <w:rFonts w:hint="eastAsia" w:ascii="宋体" w:hAnsi="宋体" w:eastAsia="宋体" w:cs="宋体"/>
          <w:szCs w:val="21"/>
        </w:rPr>
        <w:instrText xml:space="preserve"> HYPERLINK \l _Toc3628 </w:instrText>
      </w:r>
      <w:r>
        <w:rPr>
          <w:rFonts w:hint="eastAsia" w:ascii="宋体" w:hAnsi="宋体" w:eastAsia="宋体" w:cs="宋体"/>
          <w:szCs w:val="21"/>
        </w:rPr>
        <w:fldChar w:fldCharType="separate"/>
      </w:r>
      <w:r>
        <w:rPr>
          <w:rFonts w:hint="eastAsia" w:ascii="宋体" w:hAnsi="宋体" w:eastAsia="宋体" w:cs="宋体"/>
          <w:kern w:val="0"/>
          <w:szCs w:val="32"/>
          <w:lang w:val="en-US" w:eastAsia="zh-CN"/>
        </w:rPr>
        <w:t>前言</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_Toc3628 \h </w:instrText>
      </w:r>
      <w:r>
        <w:rPr>
          <w:rFonts w:hint="eastAsia" w:ascii="宋体" w:hAnsi="宋体" w:eastAsia="宋体" w:cs="宋体"/>
        </w:rPr>
        <w:fldChar w:fldCharType="separate"/>
      </w:r>
      <w:r>
        <w:rPr>
          <w:rFonts w:hint="eastAsia" w:ascii="宋体" w:hAnsi="宋体" w:eastAsia="宋体" w:cs="宋体"/>
        </w:rPr>
        <w:t>III</w:t>
      </w:r>
      <w:r>
        <w:rPr>
          <w:rFonts w:hint="eastAsia" w:ascii="宋体" w:hAnsi="宋体" w:eastAsia="宋体" w:cs="宋体"/>
        </w:rPr>
        <w:fldChar w:fldCharType="end"/>
      </w:r>
      <w:r>
        <w:rPr>
          <w:rFonts w:hint="eastAsia" w:ascii="宋体" w:hAnsi="宋体" w:eastAsia="宋体" w:cs="宋体"/>
          <w:szCs w:val="21"/>
        </w:rPr>
        <w:fldChar w:fldCharType="end"/>
      </w:r>
    </w:p>
    <w:p>
      <w:pPr>
        <w:pStyle w:val="15"/>
        <w:keepNext w:val="0"/>
        <w:keepLines w:val="0"/>
        <w:pageBreakBefore w:val="0"/>
        <w:widowControl w:val="0"/>
        <w:tabs>
          <w:tab w:val="right" w:leader="dot" w:pos="935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_Toc31326 </w:instrText>
      </w:r>
      <w:r>
        <w:rPr>
          <w:rFonts w:hint="eastAsia" w:ascii="宋体" w:hAnsi="宋体" w:eastAsia="宋体" w:cs="宋体"/>
          <w:szCs w:val="21"/>
        </w:rPr>
        <w:fldChar w:fldCharType="separate"/>
      </w:r>
      <w:r>
        <w:rPr>
          <w:rFonts w:hint="eastAsia" w:ascii="宋体" w:hAnsi="宋体" w:eastAsia="宋体" w:cs="宋体"/>
          <w:i w:val="0"/>
        </w:rPr>
        <w:t xml:space="preserve">1 </w:t>
      </w:r>
      <w:r>
        <w:rPr>
          <w:rFonts w:hint="eastAsia" w:ascii="宋体" w:hAnsi="宋体" w:eastAsia="宋体" w:cs="宋体"/>
          <w:i w:val="0"/>
          <w:lang w:val="en-US" w:eastAsia="zh-CN"/>
        </w:rPr>
        <w:t xml:space="preserve"> </w:t>
      </w:r>
      <w:r>
        <w:rPr>
          <w:rFonts w:hint="eastAsia" w:ascii="宋体" w:hAnsi="宋体" w:eastAsia="宋体" w:cs="宋体"/>
        </w:rPr>
        <w:t>范围</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_Toc31326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szCs w:val="21"/>
        </w:rPr>
        <w:fldChar w:fldCharType="end"/>
      </w:r>
    </w:p>
    <w:p>
      <w:pPr>
        <w:pStyle w:val="15"/>
        <w:keepNext w:val="0"/>
        <w:keepLines w:val="0"/>
        <w:pageBreakBefore w:val="0"/>
        <w:widowControl w:val="0"/>
        <w:tabs>
          <w:tab w:val="right" w:leader="dot" w:pos="935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_Toc19334 </w:instrText>
      </w:r>
      <w:r>
        <w:rPr>
          <w:rFonts w:hint="eastAsia" w:ascii="宋体" w:hAnsi="宋体" w:eastAsia="宋体" w:cs="宋体"/>
          <w:szCs w:val="21"/>
        </w:rPr>
        <w:fldChar w:fldCharType="separate"/>
      </w:r>
      <w:r>
        <w:rPr>
          <w:rFonts w:hint="eastAsia" w:ascii="宋体" w:hAnsi="宋体" w:eastAsia="宋体" w:cs="宋体"/>
          <w:i w:val="0"/>
        </w:rPr>
        <w:t xml:space="preserve">2 </w:t>
      </w:r>
      <w:r>
        <w:rPr>
          <w:rFonts w:hint="eastAsia" w:ascii="宋体" w:hAnsi="宋体" w:eastAsia="宋体" w:cs="宋体"/>
          <w:i w:val="0"/>
          <w:lang w:val="en-US" w:eastAsia="zh-CN"/>
        </w:rPr>
        <w:t xml:space="preserve"> </w:t>
      </w:r>
      <w:r>
        <w:rPr>
          <w:rFonts w:hint="eastAsia" w:ascii="宋体" w:hAnsi="宋体" w:eastAsia="宋体" w:cs="宋体"/>
        </w:rPr>
        <w:t>规范性引用文件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_Toc19334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szCs w:val="21"/>
        </w:rPr>
        <w:fldChar w:fldCharType="end"/>
      </w:r>
    </w:p>
    <w:p>
      <w:pPr>
        <w:pStyle w:val="15"/>
        <w:keepNext w:val="0"/>
        <w:keepLines w:val="0"/>
        <w:pageBreakBefore w:val="0"/>
        <w:widowControl w:val="0"/>
        <w:tabs>
          <w:tab w:val="right" w:leader="dot" w:pos="935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_Toc22532 </w:instrText>
      </w:r>
      <w:r>
        <w:rPr>
          <w:rFonts w:hint="eastAsia" w:ascii="宋体" w:hAnsi="宋体" w:eastAsia="宋体" w:cs="宋体"/>
          <w:szCs w:val="21"/>
        </w:rPr>
        <w:fldChar w:fldCharType="separate"/>
      </w:r>
      <w:r>
        <w:rPr>
          <w:rFonts w:hint="eastAsia" w:ascii="宋体" w:hAnsi="宋体" w:eastAsia="宋体" w:cs="宋体"/>
          <w:i w:val="0"/>
          <w:szCs w:val="21"/>
        </w:rPr>
        <w:t xml:space="preserve">3 </w:t>
      </w:r>
      <w:r>
        <w:rPr>
          <w:rFonts w:hint="eastAsia" w:ascii="宋体" w:hAnsi="宋体" w:eastAsia="宋体" w:cs="宋体"/>
          <w:i w:val="0"/>
          <w:szCs w:val="21"/>
          <w:lang w:val="en-US" w:eastAsia="zh-CN"/>
        </w:rPr>
        <w:t xml:space="preserve"> </w:t>
      </w:r>
      <w:r>
        <w:rPr>
          <w:rFonts w:hint="eastAsia" w:ascii="宋体" w:hAnsi="宋体" w:eastAsia="宋体" w:cs="宋体"/>
          <w:szCs w:val="21"/>
        </w:rPr>
        <w:t>术语和定义</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_Toc22532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szCs w:val="21"/>
        </w:rPr>
        <w:fldChar w:fldCharType="end"/>
      </w:r>
    </w:p>
    <w:p>
      <w:pPr>
        <w:pStyle w:val="15"/>
        <w:keepNext w:val="0"/>
        <w:keepLines w:val="0"/>
        <w:pageBreakBefore w:val="0"/>
        <w:widowControl w:val="0"/>
        <w:tabs>
          <w:tab w:val="right" w:leader="dot" w:pos="935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_Toc12060 </w:instrText>
      </w:r>
      <w:r>
        <w:rPr>
          <w:rFonts w:hint="eastAsia" w:ascii="宋体" w:hAnsi="宋体" w:eastAsia="宋体" w:cs="宋体"/>
          <w:szCs w:val="21"/>
        </w:rPr>
        <w:fldChar w:fldCharType="separate"/>
      </w:r>
      <w:r>
        <w:rPr>
          <w:rFonts w:hint="eastAsia" w:ascii="宋体" w:hAnsi="宋体" w:eastAsia="宋体" w:cs="宋体"/>
          <w:i w:val="0"/>
        </w:rPr>
        <w:t xml:space="preserve">4 </w:t>
      </w:r>
      <w:r>
        <w:rPr>
          <w:rFonts w:hint="eastAsia" w:ascii="宋体" w:hAnsi="宋体" w:eastAsia="宋体" w:cs="宋体"/>
          <w:i w:val="0"/>
          <w:lang w:val="en-US" w:eastAsia="zh-CN"/>
        </w:rPr>
        <w:t xml:space="preserve"> </w:t>
      </w:r>
      <w:r>
        <w:rPr>
          <w:rFonts w:hint="eastAsia" w:ascii="宋体" w:hAnsi="宋体" w:eastAsia="宋体" w:cs="宋体"/>
        </w:rPr>
        <w:t>总则</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_Toc12060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szCs w:val="21"/>
        </w:rPr>
        <w:fldChar w:fldCharType="end"/>
      </w:r>
    </w:p>
    <w:p>
      <w:pPr>
        <w:pStyle w:val="17"/>
        <w:keepNext w:val="0"/>
        <w:keepLines w:val="0"/>
        <w:pageBreakBefore w:val="0"/>
        <w:widowControl w:val="0"/>
        <w:tabs>
          <w:tab w:val="right" w:leader="dot" w:pos="9354"/>
          <w:tab w:val="clear" w:pos="934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_Toc32459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4.1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数字基础</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_Toc32459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szCs w:val="21"/>
        </w:rPr>
        <w:fldChar w:fldCharType="end"/>
      </w:r>
    </w:p>
    <w:p>
      <w:pPr>
        <w:pStyle w:val="17"/>
        <w:keepNext w:val="0"/>
        <w:keepLines w:val="0"/>
        <w:pageBreakBefore w:val="0"/>
        <w:widowControl w:val="0"/>
        <w:tabs>
          <w:tab w:val="right" w:leader="dot" w:pos="9354"/>
          <w:tab w:val="clear" w:pos="934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_Toc28872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4.2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地下空间分类</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_Toc28872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szCs w:val="21"/>
        </w:rPr>
        <w:fldChar w:fldCharType="end"/>
      </w:r>
    </w:p>
    <w:p>
      <w:pPr>
        <w:pStyle w:val="17"/>
        <w:keepNext w:val="0"/>
        <w:keepLines w:val="0"/>
        <w:pageBreakBefore w:val="0"/>
        <w:widowControl w:val="0"/>
        <w:tabs>
          <w:tab w:val="right" w:leader="dot" w:pos="9354"/>
          <w:tab w:val="clear" w:pos="934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_Toc6115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4.3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工作内容</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_Toc6115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szCs w:val="21"/>
        </w:rPr>
        <w:fldChar w:fldCharType="end"/>
      </w:r>
    </w:p>
    <w:p>
      <w:pPr>
        <w:pStyle w:val="15"/>
        <w:keepNext w:val="0"/>
        <w:keepLines w:val="0"/>
        <w:pageBreakBefore w:val="0"/>
        <w:widowControl w:val="0"/>
        <w:tabs>
          <w:tab w:val="right" w:leader="dot" w:pos="935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_Toc2765 </w:instrText>
      </w:r>
      <w:r>
        <w:rPr>
          <w:rFonts w:hint="eastAsia" w:ascii="宋体" w:hAnsi="宋体" w:eastAsia="宋体" w:cs="宋体"/>
          <w:szCs w:val="21"/>
        </w:rPr>
        <w:fldChar w:fldCharType="separate"/>
      </w:r>
      <w:r>
        <w:rPr>
          <w:rFonts w:hint="eastAsia" w:ascii="宋体" w:hAnsi="宋体" w:eastAsia="宋体" w:cs="宋体"/>
          <w:i w:val="0"/>
        </w:rPr>
        <w:t xml:space="preserve">5 </w:t>
      </w:r>
      <w:r>
        <w:rPr>
          <w:rFonts w:hint="eastAsia" w:ascii="宋体" w:hAnsi="宋体" w:eastAsia="宋体" w:cs="宋体"/>
          <w:i w:val="0"/>
          <w:lang w:val="en-US" w:eastAsia="zh-CN"/>
        </w:rPr>
        <w:t xml:space="preserve"> </w:t>
      </w:r>
      <w:r>
        <w:rPr>
          <w:rFonts w:hint="eastAsia" w:ascii="宋体" w:hAnsi="宋体" w:eastAsia="宋体" w:cs="宋体"/>
        </w:rPr>
        <w:t>地下空间划分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_Toc2765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szCs w:val="21"/>
        </w:rPr>
        <w:fldChar w:fldCharType="end"/>
      </w:r>
    </w:p>
    <w:p>
      <w:pPr>
        <w:pStyle w:val="17"/>
        <w:keepNext w:val="0"/>
        <w:keepLines w:val="0"/>
        <w:pageBreakBefore w:val="0"/>
        <w:widowControl w:val="0"/>
        <w:tabs>
          <w:tab w:val="right" w:leader="dot" w:pos="9354"/>
          <w:tab w:val="clear" w:pos="934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_Toc6922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5.1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地下空间宗地的划分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_Toc6922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szCs w:val="21"/>
        </w:rPr>
        <w:fldChar w:fldCharType="end"/>
      </w:r>
    </w:p>
    <w:p>
      <w:pPr>
        <w:pStyle w:val="17"/>
        <w:keepNext w:val="0"/>
        <w:keepLines w:val="0"/>
        <w:pageBreakBefore w:val="0"/>
        <w:widowControl w:val="0"/>
        <w:tabs>
          <w:tab w:val="right" w:leader="dot" w:pos="9354"/>
          <w:tab w:val="clear" w:pos="934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_Toc2645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5.2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地下空间定着物单元的划分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_Toc2645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szCs w:val="21"/>
        </w:rPr>
        <w:fldChar w:fldCharType="end"/>
      </w:r>
    </w:p>
    <w:p>
      <w:pPr>
        <w:pStyle w:val="17"/>
        <w:keepNext w:val="0"/>
        <w:keepLines w:val="0"/>
        <w:pageBreakBefore w:val="0"/>
        <w:widowControl w:val="0"/>
        <w:tabs>
          <w:tab w:val="right" w:leader="dot" w:pos="9354"/>
          <w:tab w:val="clear" w:pos="934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_Toc2975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5.3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地下车位不动产单元的划分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_Toc2975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szCs w:val="21"/>
        </w:rPr>
        <w:fldChar w:fldCharType="end"/>
      </w:r>
    </w:p>
    <w:p>
      <w:pPr>
        <w:pStyle w:val="17"/>
        <w:keepNext w:val="0"/>
        <w:keepLines w:val="0"/>
        <w:pageBreakBefore w:val="0"/>
        <w:widowControl w:val="0"/>
        <w:tabs>
          <w:tab w:val="right" w:leader="dot" w:pos="9354"/>
          <w:tab w:val="clear" w:pos="934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_Toc22500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5.4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轨道交通地下空间不动产单元的划分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_Toc22500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szCs w:val="21"/>
        </w:rPr>
        <w:fldChar w:fldCharType="end"/>
      </w:r>
    </w:p>
    <w:p>
      <w:pPr>
        <w:pStyle w:val="17"/>
        <w:keepNext w:val="0"/>
        <w:keepLines w:val="0"/>
        <w:pageBreakBefore w:val="0"/>
        <w:widowControl w:val="0"/>
        <w:tabs>
          <w:tab w:val="right" w:leader="dot" w:pos="9354"/>
          <w:tab w:val="clear" w:pos="934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_Toc18924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5.5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地下空间不动产单元的设定</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_Toc18924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szCs w:val="21"/>
        </w:rPr>
        <w:fldChar w:fldCharType="end"/>
      </w:r>
    </w:p>
    <w:p>
      <w:pPr>
        <w:pStyle w:val="15"/>
        <w:keepNext w:val="0"/>
        <w:keepLines w:val="0"/>
        <w:pageBreakBefore w:val="0"/>
        <w:widowControl w:val="0"/>
        <w:tabs>
          <w:tab w:val="right" w:leader="dot" w:pos="935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_Toc22471 </w:instrText>
      </w:r>
      <w:r>
        <w:rPr>
          <w:rFonts w:hint="eastAsia" w:ascii="宋体" w:hAnsi="宋体" w:eastAsia="宋体" w:cs="宋体"/>
          <w:szCs w:val="21"/>
        </w:rPr>
        <w:fldChar w:fldCharType="separate"/>
      </w:r>
      <w:r>
        <w:rPr>
          <w:rFonts w:hint="eastAsia" w:ascii="宋体" w:hAnsi="宋体" w:eastAsia="宋体" w:cs="宋体"/>
          <w:i w:val="0"/>
        </w:rPr>
        <w:t xml:space="preserve">6 </w:t>
      </w:r>
      <w:r>
        <w:rPr>
          <w:rFonts w:hint="eastAsia" w:ascii="宋体" w:hAnsi="宋体" w:eastAsia="宋体" w:cs="宋体"/>
          <w:i w:val="0"/>
          <w:lang w:val="en-US" w:eastAsia="zh-CN"/>
        </w:rPr>
        <w:t xml:space="preserve"> </w:t>
      </w:r>
      <w:r>
        <w:rPr>
          <w:rFonts w:hint="eastAsia" w:ascii="宋体" w:hAnsi="宋体" w:eastAsia="宋体" w:cs="宋体"/>
        </w:rPr>
        <w:t>代码编制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_Toc22471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szCs w:val="21"/>
        </w:rPr>
        <w:fldChar w:fldCharType="end"/>
      </w:r>
    </w:p>
    <w:p>
      <w:pPr>
        <w:pStyle w:val="17"/>
        <w:keepNext w:val="0"/>
        <w:keepLines w:val="0"/>
        <w:pageBreakBefore w:val="0"/>
        <w:widowControl w:val="0"/>
        <w:tabs>
          <w:tab w:val="right" w:leader="dot" w:pos="9354"/>
          <w:tab w:val="clear" w:pos="934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_Toc30595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6.1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代码结构</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_Toc30595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szCs w:val="21"/>
        </w:rPr>
        <w:fldChar w:fldCharType="end"/>
      </w:r>
    </w:p>
    <w:p>
      <w:pPr>
        <w:pStyle w:val="17"/>
        <w:keepNext w:val="0"/>
        <w:keepLines w:val="0"/>
        <w:pageBreakBefore w:val="0"/>
        <w:widowControl w:val="0"/>
        <w:tabs>
          <w:tab w:val="right" w:leader="dot" w:pos="9354"/>
          <w:tab w:val="clear" w:pos="934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_Toc25810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6.2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编码方法</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_Toc25810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szCs w:val="21"/>
        </w:rPr>
        <w:fldChar w:fldCharType="end"/>
      </w:r>
    </w:p>
    <w:p>
      <w:pPr>
        <w:pStyle w:val="17"/>
        <w:keepNext w:val="0"/>
        <w:keepLines w:val="0"/>
        <w:pageBreakBefore w:val="0"/>
        <w:widowControl w:val="0"/>
        <w:tabs>
          <w:tab w:val="right" w:leader="dot" w:pos="9354"/>
          <w:tab w:val="clear" w:pos="934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_Toc32270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6.3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代码变更</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_Toc32270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szCs w:val="21"/>
        </w:rPr>
        <w:fldChar w:fldCharType="end"/>
      </w:r>
    </w:p>
    <w:p>
      <w:pPr>
        <w:pStyle w:val="15"/>
        <w:keepNext w:val="0"/>
        <w:keepLines w:val="0"/>
        <w:pageBreakBefore w:val="0"/>
        <w:widowControl w:val="0"/>
        <w:tabs>
          <w:tab w:val="right" w:leader="dot" w:pos="935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_Toc31436 </w:instrText>
      </w:r>
      <w:r>
        <w:rPr>
          <w:rFonts w:hint="eastAsia" w:ascii="宋体" w:hAnsi="宋体" w:eastAsia="宋体" w:cs="宋体"/>
          <w:szCs w:val="21"/>
        </w:rPr>
        <w:fldChar w:fldCharType="separate"/>
      </w:r>
      <w:r>
        <w:rPr>
          <w:rFonts w:hint="eastAsia" w:ascii="宋体" w:hAnsi="宋体" w:eastAsia="宋体" w:cs="宋体"/>
          <w:i w:val="0"/>
        </w:rPr>
        <w:t xml:space="preserve">7 </w:t>
      </w:r>
      <w:r>
        <w:rPr>
          <w:rFonts w:hint="eastAsia" w:ascii="宋体" w:hAnsi="宋体" w:eastAsia="宋体" w:cs="宋体"/>
          <w:i w:val="0"/>
          <w:lang w:val="en-US" w:eastAsia="zh-CN"/>
        </w:rPr>
        <w:t xml:space="preserve"> </w:t>
      </w:r>
      <w:r>
        <w:rPr>
          <w:rFonts w:hint="eastAsia" w:ascii="宋体" w:hAnsi="宋体" w:eastAsia="宋体" w:cs="宋体"/>
        </w:rPr>
        <w:t>权属调查</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_Toc31436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szCs w:val="21"/>
        </w:rPr>
        <w:fldChar w:fldCharType="end"/>
      </w:r>
    </w:p>
    <w:p>
      <w:pPr>
        <w:pStyle w:val="17"/>
        <w:keepNext w:val="0"/>
        <w:keepLines w:val="0"/>
        <w:pageBreakBefore w:val="0"/>
        <w:widowControl w:val="0"/>
        <w:tabs>
          <w:tab w:val="right" w:leader="dot" w:pos="9354"/>
          <w:tab w:val="clear" w:pos="934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_Toc10096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7.1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一般规定</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_Toc10096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szCs w:val="21"/>
        </w:rPr>
        <w:fldChar w:fldCharType="end"/>
      </w:r>
    </w:p>
    <w:p>
      <w:pPr>
        <w:pStyle w:val="17"/>
        <w:keepNext w:val="0"/>
        <w:keepLines w:val="0"/>
        <w:pageBreakBefore w:val="0"/>
        <w:widowControl w:val="0"/>
        <w:tabs>
          <w:tab w:val="right" w:leader="dot" w:pos="9354"/>
          <w:tab w:val="clear" w:pos="934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_Toc1120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7.2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基础资料</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_Toc1120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szCs w:val="21"/>
        </w:rPr>
        <w:fldChar w:fldCharType="end"/>
      </w:r>
    </w:p>
    <w:p>
      <w:pPr>
        <w:pStyle w:val="17"/>
        <w:keepNext w:val="0"/>
        <w:keepLines w:val="0"/>
        <w:pageBreakBefore w:val="0"/>
        <w:widowControl w:val="0"/>
        <w:tabs>
          <w:tab w:val="right" w:leader="dot" w:pos="9354"/>
          <w:tab w:val="clear" w:pos="934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_Toc8876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7.3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地下宗地调查</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_Toc8876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szCs w:val="21"/>
        </w:rPr>
        <w:fldChar w:fldCharType="end"/>
      </w:r>
    </w:p>
    <w:p>
      <w:pPr>
        <w:pStyle w:val="17"/>
        <w:keepNext w:val="0"/>
        <w:keepLines w:val="0"/>
        <w:pageBreakBefore w:val="0"/>
        <w:widowControl w:val="0"/>
        <w:tabs>
          <w:tab w:val="right" w:leader="dot" w:pos="9354"/>
          <w:tab w:val="clear" w:pos="934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_Toc29112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7.4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地下定着物调查</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_Toc29112 \h </w:instrText>
      </w:r>
      <w:r>
        <w:rPr>
          <w:rFonts w:hint="eastAsia" w:ascii="宋体" w:hAnsi="宋体" w:eastAsia="宋体" w:cs="宋体"/>
        </w:rPr>
        <w:fldChar w:fldCharType="separate"/>
      </w:r>
      <w:r>
        <w:rPr>
          <w:rFonts w:hint="eastAsia" w:ascii="宋体" w:hAnsi="宋体" w:eastAsia="宋体" w:cs="宋体"/>
        </w:rPr>
        <w:t>7</w:t>
      </w:r>
      <w:r>
        <w:rPr>
          <w:rFonts w:hint="eastAsia" w:ascii="宋体" w:hAnsi="宋体" w:eastAsia="宋体" w:cs="宋体"/>
        </w:rPr>
        <w:fldChar w:fldCharType="end"/>
      </w:r>
      <w:r>
        <w:rPr>
          <w:rFonts w:hint="eastAsia" w:ascii="宋体" w:hAnsi="宋体" w:eastAsia="宋体" w:cs="宋体"/>
          <w:szCs w:val="21"/>
        </w:rPr>
        <w:fldChar w:fldCharType="end"/>
      </w:r>
    </w:p>
    <w:p>
      <w:pPr>
        <w:pStyle w:val="17"/>
        <w:keepNext w:val="0"/>
        <w:keepLines w:val="0"/>
        <w:pageBreakBefore w:val="0"/>
        <w:widowControl w:val="0"/>
        <w:tabs>
          <w:tab w:val="right" w:leader="dot" w:pos="9354"/>
          <w:tab w:val="clear" w:pos="934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_Toc8089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7.5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产权草图绘制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_Toc8089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szCs w:val="21"/>
        </w:rPr>
        <w:fldChar w:fldCharType="end"/>
      </w:r>
    </w:p>
    <w:p>
      <w:pPr>
        <w:pStyle w:val="17"/>
        <w:keepNext w:val="0"/>
        <w:keepLines w:val="0"/>
        <w:pageBreakBefore w:val="0"/>
        <w:widowControl w:val="0"/>
        <w:tabs>
          <w:tab w:val="right" w:leader="dot" w:pos="9354"/>
          <w:tab w:val="clear" w:pos="934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_Toc184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7.6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地籍测绘</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_Toc184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szCs w:val="21"/>
        </w:rPr>
        <w:fldChar w:fldCharType="end"/>
      </w:r>
    </w:p>
    <w:p>
      <w:pPr>
        <w:pStyle w:val="15"/>
        <w:keepNext w:val="0"/>
        <w:keepLines w:val="0"/>
        <w:pageBreakBefore w:val="0"/>
        <w:widowControl w:val="0"/>
        <w:tabs>
          <w:tab w:val="right" w:leader="dot" w:pos="935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_Toc29639 </w:instrText>
      </w:r>
      <w:r>
        <w:rPr>
          <w:rFonts w:hint="eastAsia" w:ascii="宋体" w:hAnsi="宋体" w:eastAsia="宋体" w:cs="宋体"/>
          <w:szCs w:val="21"/>
        </w:rPr>
        <w:fldChar w:fldCharType="separate"/>
      </w:r>
      <w:r>
        <w:rPr>
          <w:rFonts w:hint="eastAsia" w:ascii="宋体" w:hAnsi="宋体" w:eastAsia="宋体" w:cs="宋体"/>
          <w:i w:val="0"/>
        </w:rPr>
        <w:t xml:space="preserve">8 </w:t>
      </w:r>
      <w:r>
        <w:rPr>
          <w:rFonts w:hint="eastAsia" w:ascii="宋体" w:hAnsi="宋体" w:eastAsia="宋体" w:cs="宋体"/>
          <w:i w:val="0"/>
          <w:lang w:val="en-US" w:eastAsia="zh-CN"/>
        </w:rPr>
        <w:t xml:space="preserve"> </w:t>
      </w:r>
      <w:r>
        <w:rPr>
          <w:rFonts w:hint="eastAsia" w:ascii="宋体" w:hAnsi="宋体" w:eastAsia="宋体" w:cs="宋体"/>
        </w:rPr>
        <w:t>调查数据成果处理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_Toc29639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szCs w:val="21"/>
        </w:rPr>
        <w:fldChar w:fldCharType="end"/>
      </w:r>
    </w:p>
    <w:p>
      <w:pPr>
        <w:pStyle w:val="17"/>
        <w:keepNext w:val="0"/>
        <w:keepLines w:val="0"/>
        <w:pageBreakBefore w:val="0"/>
        <w:widowControl w:val="0"/>
        <w:tabs>
          <w:tab w:val="right" w:leader="dot" w:pos="9354"/>
          <w:tab w:val="clear" w:pos="934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_Toc11211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8.1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调查表填写</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_Toc11211 \h </w:instrText>
      </w:r>
      <w:r>
        <w:rPr>
          <w:rFonts w:hint="eastAsia" w:ascii="宋体" w:hAnsi="宋体" w:eastAsia="宋体" w:cs="宋体"/>
        </w:rPr>
        <w:fldChar w:fldCharType="separate"/>
      </w:r>
      <w:r>
        <w:rPr>
          <w:rFonts w:hint="eastAsia" w:ascii="宋体" w:hAnsi="宋体" w:eastAsia="宋体" w:cs="宋体"/>
        </w:rPr>
        <w:t>9</w:t>
      </w:r>
      <w:r>
        <w:rPr>
          <w:rFonts w:hint="eastAsia" w:ascii="宋体" w:hAnsi="宋体" w:eastAsia="宋体" w:cs="宋体"/>
        </w:rPr>
        <w:fldChar w:fldCharType="end"/>
      </w:r>
      <w:r>
        <w:rPr>
          <w:rFonts w:hint="eastAsia" w:ascii="宋体" w:hAnsi="宋体" w:eastAsia="宋体" w:cs="宋体"/>
          <w:szCs w:val="21"/>
        </w:rPr>
        <w:fldChar w:fldCharType="end"/>
      </w:r>
    </w:p>
    <w:p>
      <w:pPr>
        <w:pStyle w:val="17"/>
        <w:keepNext w:val="0"/>
        <w:keepLines w:val="0"/>
        <w:pageBreakBefore w:val="0"/>
        <w:widowControl w:val="0"/>
        <w:tabs>
          <w:tab w:val="right" w:leader="dot" w:pos="9354"/>
          <w:tab w:val="clear" w:pos="934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_Toc4827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8.2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地籍图编制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_Toc4827 \h </w:instrText>
      </w:r>
      <w:r>
        <w:rPr>
          <w:rFonts w:hint="eastAsia" w:ascii="宋体" w:hAnsi="宋体" w:eastAsia="宋体" w:cs="宋体"/>
        </w:rPr>
        <w:fldChar w:fldCharType="separate"/>
      </w:r>
      <w:r>
        <w:rPr>
          <w:rFonts w:hint="eastAsia" w:ascii="宋体" w:hAnsi="宋体" w:eastAsia="宋体" w:cs="宋体"/>
        </w:rPr>
        <w:t>9</w:t>
      </w:r>
      <w:r>
        <w:rPr>
          <w:rFonts w:hint="eastAsia" w:ascii="宋体" w:hAnsi="宋体" w:eastAsia="宋体" w:cs="宋体"/>
        </w:rPr>
        <w:fldChar w:fldCharType="end"/>
      </w:r>
      <w:r>
        <w:rPr>
          <w:rFonts w:hint="eastAsia" w:ascii="宋体" w:hAnsi="宋体" w:eastAsia="宋体" w:cs="宋体"/>
          <w:szCs w:val="21"/>
        </w:rPr>
        <w:fldChar w:fldCharType="end"/>
      </w:r>
    </w:p>
    <w:p>
      <w:pPr>
        <w:pStyle w:val="17"/>
        <w:keepNext w:val="0"/>
        <w:keepLines w:val="0"/>
        <w:pageBreakBefore w:val="0"/>
        <w:widowControl w:val="0"/>
        <w:tabs>
          <w:tab w:val="right" w:leader="dot" w:pos="9354"/>
          <w:tab w:val="clear" w:pos="934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_Toc10307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8.3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地下空间不动产单元图编制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_Toc10307 \h </w:instrText>
      </w:r>
      <w:r>
        <w:rPr>
          <w:rFonts w:hint="eastAsia" w:ascii="宋体" w:hAnsi="宋体" w:eastAsia="宋体" w:cs="宋体"/>
        </w:rPr>
        <w:fldChar w:fldCharType="separate"/>
      </w:r>
      <w:r>
        <w:rPr>
          <w:rFonts w:hint="eastAsia" w:ascii="宋体" w:hAnsi="宋体" w:eastAsia="宋体" w:cs="宋体"/>
        </w:rPr>
        <w:t>9</w:t>
      </w:r>
      <w:r>
        <w:rPr>
          <w:rFonts w:hint="eastAsia" w:ascii="宋体" w:hAnsi="宋体" w:eastAsia="宋体" w:cs="宋体"/>
        </w:rPr>
        <w:fldChar w:fldCharType="end"/>
      </w:r>
      <w:r>
        <w:rPr>
          <w:rFonts w:hint="eastAsia" w:ascii="宋体" w:hAnsi="宋体" w:eastAsia="宋体" w:cs="宋体"/>
          <w:szCs w:val="21"/>
        </w:rPr>
        <w:fldChar w:fldCharType="end"/>
      </w:r>
    </w:p>
    <w:p>
      <w:pPr>
        <w:pStyle w:val="17"/>
        <w:keepNext w:val="0"/>
        <w:keepLines w:val="0"/>
        <w:pageBreakBefore w:val="0"/>
        <w:widowControl w:val="0"/>
        <w:tabs>
          <w:tab w:val="right" w:leader="dot" w:pos="9354"/>
          <w:tab w:val="clear" w:pos="934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_Toc8671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8.4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地下宗地面积测算</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_Toc8671 \h </w:instrText>
      </w:r>
      <w:r>
        <w:rPr>
          <w:rFonts w:hint="eastAsia" w:ascii="宋体" w:hAnsi="宋体" w:eastAsia="宋体" w:cs="宋体"/>
        </w:rPr>
        <w:fldChar w:fldCharType="separate"/>
      </w:r>
      <w:r>
        <w:rPr>
          <w:rFonts w:hint="eastAsia" w:ascii="宋体" w:hAnsi="宋体" w:eastAsia="宋体" w:cs="宋体"/>
        </w:rPr>
        <w:t>9</w:t>
      </w:r>
      <w:r>
        <w:rPr>
          <w:rFonts w:hint="eastAsia" w:ascii="宋体" w:hAnsi="宋体" w:eastAsia="宋体" w:cs="宋体"/>
        </w:rPr>
        <w:fldChar w:fldCharType="end"/>
      </w:r>
      <w:r>
        <w:rPr>
          <w:rFonts w:hint="eastAsia" w:ascii="宋体" w:hAnsi="宋体" w:eastAsia="宋体" w:cs="宋体"/>
          <w:szCs w:val="21"/>
        </w:rPr>
        <w:fldChar w:fldCharType="end"/>
      </w:r>
    </w:p>
    <w:p>
      <w:pPr>
        <w:pStyle w:val="17"/>
        <w:keepNext w:val="0"/>
        <w:keepLines w:val="0"/>
        <w:pageBreakBefore w:val="0"/>
        <w:widowControl w:val="0"/>
        <w:tabs>
          <w:tab w:val="right" w:leader="dot" w:pos="9354"/>
          <w:tab w:val="clear" w:pos="934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_Toc30329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8.5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建筑面积测算</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_Toc30329 \h </w:instrText>
      </w:r>
      <w:r>
        <w:rPr>
          <w:rFonts w:hint="eastAsia" w:ascii="宋体" w:hAnsi="宋体" w:eastAsia="宋体" w:cs="宋体"/>
        </w:rPr>
        <w:fldChar w:fldCharType="separate"/>
      </w:r>
      <w:r>
        <w:rPr>
          <w:rFonts w:hint="eastAsia" w:ascii="宋体" w:hAnsi="宋体" w:eastAsia="宋体" w:cs="宋体"/>
        </w:rPr>
        <w:t>9</w:t>
      </w:r>
      <w:r>
        <w:rPr>
          <w:rFonts w:hint="eastAsia" w:ascii="宋体" w:hAnsi="宋体" w:eastAsia="宋体" w:cs="宋体"/>
        </w:rPr>
        <w:fldChar w:fldCharType="end"/>
      </w:r>
      <w:r>
        <w:rPr>
          <w:rFonts w:hint="eastAsia" w:ascii="宋体" w:hAnsi="宋体" w:eastAsia="宋体" w:cs="宋体"/>
          <w:szCs w:val="21"/>
        </w:rPr>
        <w:fldChar w:fldCharType="end"/>
      </w:r>
    </w:p>
    <w:p>
      <w:pPr>
        <w:pStyle w:val="15"/>
        <w:keepNext w:val="0"/>
        <w:keepLines w:val="0"/>
        <w:pageBreakBefore w:val="0"/>
        <w:widowControl w:val="0"/>
        <w:tabs>
          <w:tab w:val="right" w:leader="dot" w:pos="935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_Toc23147 </w:instrText>
      </w:r>
      <w:r>
        <w:rPr>
          <w:rFonts w:hint="eastAsia" w:ascii="宋体" w:hAnsi="宋体" w:eastAsia="宋体" w:cs="宋体"/>
          <w:szCs w:val="21"/>
        </w:rPr>
        <w:fldChar w:fldCharType="separate"/>
      </w:r>
      <w:r>
        <w:rPr>
          <w:rFonts w:hint="eastAsia" w:ascii="宋体" w:hAnsi="宋体" w:eastAsia="宋体" w:cs="宋体"/>
          <w:i w:val="0"/>
        </w:rPr>
        <w:t xml:space="preserve">9 </w:t>
      </w:r>
      <w:r>
        <w:rPr>
          <w:rFonts w:hint="eastAsia" w:ascii="宋体" w:hAnsi="宋体" w:eastAsia="宋体" w:cs="宋体"/>
          <w:i w:val="0"/>
          <w:lang w:val="en-US" w:eastAsia="zh-CN"/>
        </w:rPr>
        <w:t xml:space="preserve"> </w:t>
      </w:r>
      <w:r>
        <w:rPr>
          <w:rFonts w:hint="eastAsia" w:ascii="宋体" w:hAnsi="宋体" w:eastAsia="宋体" w:cs="宋体"/>
        </w:rPr>
        <w:t>成果检查与整理归档</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_Toc23147 \h </w:instrText>
      </w:r>
      <w:r>
        <w:rPr>
          <w:rFonts w:hint="eastAsia" w:ascii="宋体" w:hAnsi="宋体" w:eastAsia="宋体" w:cs="宋体"/>
        </w:rPr>
        <w:fldChar w:fldCharType="separate"/>
      </w:r>
      <w:r>
        <w:rPr>
          <w:rFonts w:hint="eastAsia" w:ascii="宋体" w:hAnsi="宋体" w:eastAsia="宋体" w:cs="宋体"/>
        </w:rPr>
        <w:t>9</w:t>
      </w:r>
      <w:r>
        <w:rPr>
          <w:rFonts w:hint="eastAsia" w:ascii="宋体" w:hAnsi="宋体" w:eastAsia="宋体" w:cs="宋体"/>
        </w:rPr>
        <w:fldChar w:fldCharType="end"/>
      </w:r>
      <w:r>
        <w:rPr>
          <w:rFonts w:hint="eastAsia" w:ascii="宋体" w:hAnsi="宋体" w:eastAsia="宋体" w:cs="宋体"/>
          <w:szCs w:val="21"/>
        </w:rPr>
        <w:fldChar w:fldCharType="end"/>
      </w:r>
    </w:p>
    <w:p>
      <w:pPr>
        <w:pStyle w:val="17"/>
        <w:keepNext w:val="0"/>
        <w:keepLines w:val="0"/>
        <w:pageBreakBefore w:val="0"/>
        <w:widowControl w:val="0"/>
        <w:tabs>
          <w:tab w:val="right" w:leader="dot" w:pos="9354"/>
          <w:tab w:val="clear" w:pos="934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_Toc26440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9.1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成果检查</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_Toc26440 \h </w:instrText>
      </w:r>
      <w:r>
        <w:rPr>
          <w:rFonts w:hint="eastAsia" w:ascii="宋体" w:hAnsi="宋体" w:eastAsia="宋体" w:cs="宋体"/>
        </w:rPr>
        <w:fldChar w:fldCharType="separate"/>
      </w:r>
      <w:r>
        <w:rPr>
          <w:rFonts w:hint="eastAsia" w:ascii="宋体" w:hAnsi="宋体" w:eastAsia="宋体" w:cs="宋体"/>
        </w:rPr>
        <w:t>9</w:t>
      </w:r>
      <w:r>
        <w:rPr>
          <w:rFonts w:hint="eastAsia" w:ascii="宋体" w:hAnsi="宋体" w:eastAsia="宋体" w:cs="宋体"/>
        </w:rPr>
        <w:fldChar w:fldCharType="end"/>
      </w:r>
      <w:r>
        <w:rPr>
          <w:rFonts w:hint="eastAsia" w:ascii="宋体" w:hAnsi="宋体" w:eastAsia="宋体" w:cs="宋体"/>
          <w:szCs w:val="21"/>
        </w:rPr>
        <w:fldChar w:fldCharType="end"/>
      </w:r>
    </w:p>
    <w:p>
      <w:pPr>
        <w:pStyle w:val="17"/>
        <w:keepNext w:val="0"/>
        <w:keepLines w:val="0"/>
        <w:pageBreakBefore w:val="0"/>
        <w:widowControl w:val="0"/>
        <w:tabs>
          <w:tab w:val="right" w:leader="dot" w:pos="9354"/>
          <w:tab w:val="clear" w:pos="934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_Toc15557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9.2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成果整理归档</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_Toc15557 \h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r>
        <w:rPr>
          <w:rFonts w:hint="eastAsia" w:ascii="宋体" w:hAnsi="宋体" w:eastAsia="宋体" w:cs="宋体"/>
          <w:szCs w:val="21"/>
        </w:rPr>
        <w:fldChar w:fldCharType="end"/>
      </w:r>
    </w:p>
    <w:p>
      <w:pPr>
        <w:pStyle w:val="17"/>
        <w:keepNext w:val="0"/>
        <w:keepLines w:val="0"/>
        <w:pageBreakBefore w:val="0"/>
        <w:widowControl w:val="0"/>
        <w:tabs>
          <w:tab w:val="right" w:leader="dot" w:pos="9354"/>
          <w:tab w:val="clear" w:pos="934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_Toc5506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9.3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rPr>
        <w:t>保存期限</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_Toc5506 \h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r>
        <w:rPr>
          <w:rFonts w:hint="eastAsia" w:ascii="宋体" w:hAnsi="宋体" w:eastAsia="宋体" w:cs="宋体"/>
          <w:szCs w:val="21"/>
        </w:rPr>
        <w:fldChar w:fldCharType="end"/>
      </w:r>
    </w:p>
    <w:p>
      <w:pPr>
        <w:pStyle w:val="15"/>
        <w:keepNext w:val="0"/>
        <w:keepLines w:val="0"/>
        <w:pageBreakBefore w:val="0"/>
        <w:widowControl w:val="0"/>
        <w:tabs>
          <w:tab w:val="right" w:leader="dot" w:pos="935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_Toc22372 </w:instrText>
      </w:r>
      <w:r>
        <w:rPr>
          <w:rFonts w:hint="eastAsia" w:ascii="宋体" w:hAnsi="宋体" w:eastAsia="宋体" w:cs="宋体"/>
          <w:szCs w:val="21"/>
        </w:rPr>
        <w:fldChar w:fldCharType="separate"/>
      </w:r>
      <w:r>
        <w:rPr>
          <w:rFonts w:hint="eastAsia" w:ascii="宋体" w:hAnsi="宋体" w:eastAsia="宋体" w:cs="宋体"/>
          <w:szCs w:val="21"/>
          <w:lang w:val="en-US" w:eastAsia="zh-CN"/>
        </w:rPr>
        <w:t>附录A（规范性）  地籍调查表（地下）</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_Toc22372 \h </w:instrText>
      </w:r>
      <w:r>
        <w:rPr>
          <w:rFonts w:hint="eastAsia" w:ascii="宋体" w:hAnsi="宋体" w:eastAsia="宋体" w:cs="宋体"/>
        </w:rPr>
        <w:fldChar w:fldCharType="separate"/>
      </w:r>
      <w:r>
        <w:rPr>
          <w:rFonts w:hint="eastAsia" w:ascii="宋体" w:hAnsi="宋体" w:eastAsia="宋体" w:cs="宋体"/>
        </w:rPr>
        <w:t>11</w:t>
      </w:r>
      <w:r>
        <w:rPr>
          <w:rFonts w:hint="eastAsia" w:ascii="宋体" w:hAnsi="宋体" w:eastAsia="宋体" w:cs="宋体"/>
        </w:rPr>
        <w:fldChar w:fldCharType="end"/>
      </w:r>
      <w:r>
        <w:rPr>
          <w:rFonts w:hint="eastAsia" w:ascii="宋体" w:hAnsi="宋体" w:eastAsia="宋体" w:cs="宋体"/>
          <w:szCs w:val="21"/>
        </w:rPr>
        <w:fldChar w:fldCharType="end"/>
      </w:r>
    </w:p>
    <w:p>
      <w:pPr>
        <w:pStyle w:val="15"/>
        <w:keepNext w:val="0"/>
        <w:keepLines w:val="0"/>
        <w:pageBreakBefore w:val="0"/>
        <w:widowControl w:val="0"/>
        <w:tabs>
          <w:tab w:val="right" w:leader="dot" w:pos="9354"/>
        </w:tabs>
        <w:kinsoku/>
        <w:wordWrap/>
        <w:overflowPunct/>
        <w:topLinePunct w:val="0"/>
        <w:autoSpaceDE/>
        <w:autoSpaceDN/>
        <w:bidi w:val="0"/>
        <w:adjustRightInd/>
        <w:snapToGrid/>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_Toc5523 </w:instrText>
      </w:r>
      <w:r>
        <w:rPr>
          <w:rFonts w:hint="eastAsia" w:ascii="宋体" w:hAnsi="宋体" w:eastAsia="宋体" w:cs="宋体"/>
          <w:szCs w:val="21"/>
        </w:rPr>
        <w:fldChar w:fldCharType="separate"/>
      </w:r>
      <w:r>
        <w:rPr>
          <w:rFonts w:hint="eastAsia" w:ascii="宋体" w:hAnsi="宋体" w:eastAsia="宋体" w:cs="宋体"/>
          <w:szCs w:val="21"/>
          <w:lang w:val="en-US" w:eastAsia="zh-CN"/>
        </w:rPr>
        <w:t>附录B（规范性）  地下空间定着物调查表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_Toc5523 \h </w:instrText>
      </w:r>
      <w:r>
        <w:rPr>
          <w:rFonts w:hint="eastAsia" w:ascii="宋体" w:hAnsi="宋体" w:eastAsia="宋体" w:cs="宋体"/>
        </w:rPr>
        <w:fldChar w:fldCharType="separate"/>
      </w:r>
      <w:r>
        <w:rPr>
          <w:rFonts w:hint="eastAsia" w:ascii="宋体" w:hAnsi="宋体" w:eastAsia="宋体" w:cs="宋体"/>
        </w:rPr>
        <w:t>21</w:t>
      </w:r>
      <w:r>
        <w:rPr>
          <w:rFonts w:hint="eastAsia" w:ascii="宋体" w:hAnsi="宋体" w:eastAsia="宋体" w:cs="宋体"/>
        </w:rPr>
        <w:fldChar w:fldCharType="end"/>
      </w:r>
      <w:r>
        <w:rPr>
          <w:rFonts w:hint="eastAsia" w:ascii="宋体" w:hAnsi="宋体" w:eastAsia="宋体" w:cs="宋体"/>
          <w:szCs w:val="21"/>
        </w:rPr>
        <w:fldChar w:fldCharType="end"/>
      </w:r>
    </w:p>
    <w:p>
      <w:pPr>
        <w:pStyle w:val="15"/>
        <w:keepNext w:val="0"/>
        <w:keepLines w:val="0"/>
        <w:pageBreakBefore w:val="0"/>
        <w:widowControl w:val="0"/>
        <w:tabs>
          <w:tab w:val="right" w:leader="dot" w:pos="9354"/>
        </w:tabs>
        <w:kinsoku/>
        <w:wordWrap/>
        <w:overflowPunct/>
        <w:topLinePunct w:val="0"/>
        <w:autoSpaceDE/>
        <w:autoSpaceDN/>
        <w:bidi w:val="0"/>
        <w:adjustRightInd/>
        <w:snapToGrid/>
        <w:textAlignment w:val="auto"/>
        <w:rPr>
          <w:rFonts w:hint="eastAsia" w:ascii="宋体" w:hAnsi="宋体" w:eastAsia="宋体" w:cs="宋体"/>
          <w:szCs w:val="21"/>
        </w:rPr>
        <w:sectPr>
          <w:headerReference r:id="rId6" w:type="default"/>
          <w:footerReference r:id="rId8" w:type="default"/>
          <w:headerReference r:id="rId7" w:type="even"/>
          <w:footerReference r:id="rId9" w:type="even"/>
          <w:pgSz w:w="11906" w:h="16838"/>
          <w:pgMar w:top="1417" w:right="1134" w:bottom="1134" w:left="1418" w:header="1417" w:footer="1134" w:gutter="0"/>
          <w:pgBorders>
            <w:top w:val="none" w:sz="0" w:space="0"/>
            <w:left w:val="none" w:sz="0" w:space="0"/>
            <w:bottom w:val="none" w:sz="0" w:space="0"/>
            <w:right w:val="none" w:sz="0" w:space="0"/>
          </w:pgBorders>
          <w:pgNumType w:fmt="upperRoman" w:start="1"/>
          <w:cols w:space="425" w:num="1"/>
          <w:docGrid w:type="lines" w:linePitch="312" w:charSpace="0"/>
        </w:sectPr>
      </w:pPr>
    </w:p>
    <w:p>
      <w:pPr>
        <w:pStyle w:val="15"/>
        <w:keepNext w:val="0"/>
        <w:keepLines w:val="0"/>
        <w:pageBreakBefore w:val="0"/>
        <w:widowControl w:val="0"/>
        <w:tabs>
          <w:tab w:val="right" w:leader="dot" w:pos="9354"/>
        </w:tabs>
        <w:kinsoku/>
        <w:wordWrap/>
        <w:overflowPunct/>
        <w:topLinePunct w:val="0"/>
        <w:autoSpaceDE/>
        <w:autoSpaceDN/>
        <w:bidi w:val="0"/>
        <w:adjustRightInd/>
        <w:snapToGrid/>
        <w:textAlignment w:val="auto"/>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_Toc31239 </w:instrText>
      </w:r>
      <w:r>
        <w:rPr>
          <w:rFonts w:hint="eastAsia" w:ascii="宋体" w:hAnsi="宋体" w:eastAsia="宋体" w:cs="宋体"/>
          <w:szCs w:val="21"/>
        </w:rPr>
        <w:fldChar w:fldCharType="separate"/>
      </w:r>
      <w:r>
        <w:rPr>
          <w:rFonts w:hint="eastAsia" w:ascii="宋体" w:hAnsi="宋体" w:eastAsia="宋体" w:cs="宋体"/>
          <w:szCs w:val="21"/>
          <w:lang w:val="en-US" w:eastAsia="zh-CN"/>
        </w:rPr>
        <w:t>参考文献</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_Toc31239 \h </w:instrText>
      </w:r>
      <w:r>
        <w:rPr>
          <w:rFonts w:hint="eastAsia" w:ascii="宋体" w:hAnsi="宋体" w:eastAsia="宋体" w:cs="宋体"/>
        </w:rPr>
        <w:fldChar w:fldCharType="separate"/>
      </w:r>
      <w:r>
        <w:rPr>
          <w:rFonts w:hint="eastAsia" w:ascii="宋体" w:hAnsi="宋体" w:eastAsia="宋体" w:cs="宋体"/>
        </w:rPr>
        <w:t>23</w:t>
      </w:r>
      <w:r>
        <w:rPr>
          <w:rFonts w:hint="eastAsia" w:ascii="宋体" w:hAnsi="宋体" w:eastAsia="宋体" w:cs="宋体"/>
        </w:rPr>
        <w:fldChar w:fldCharType="end"/>
      </w:r>
      <w:r>
        <w:rPr>
          <w:rFonts w:hint="eastAsia" w:ascii="宋体" w:hAnsi="宋体" w:eastAsia="宋体" w:cs="宋体"/>
          <w:szCs w:val="21"/>
        </w:rPr>
        <w:fldChar w:fldCharType="end"/>
      </w:r>
    </w:p>
    <w:p>
      <w:pPr>
        <w:keepNext w:val="0"/>
        <w:keepLines w:val="0"/>
        <w:pageBreakBefore w:val="0"/>
        <w:widowControl w:val="0"/>
        <w:kinsoku/>
        <w:wordWrap/>
        <w:overflowPunct/>
        <w:topLinePunct w:val="0"/>
        <w:autoSpaceDE/>
        <w:autoSpaceDN/>
        <w:bidi w:val="0"/>
        <w:adjustRightInd/>
        <w:snapToGrid w:val="0"/>
        <w:jc w:val="left"/>
        <w:textAlignment w:val="auto"/>
        <w:rPr>
          <w:rFonts w:ascii="宋体" w:hAnsi="宋体" w:eastAsia="宋体" w:cs="宋体"/>
          <w:szCs w:val="21"/>
        </w:rPr>
      </w:pPr>
      <w:r>
        <w:rPr>
          <w:rFonts w:hint="eastAsia" w:ascii="宋体" w:hAnsi="宋体" w:eastAsia="宋体" w:cs="宋体"/>
          <w:szCs w:val="21"/>
        </w:rPr>
        <w:fldChar w:fldCharType="end"/>
      </w:r>
    </w:p>
    <w:p>
      <w:pPr>
        <w:pStyle w:val="2"/>
        <w:rPr>
          <w:rFonts w:ascii="宋体" w:hAnsi="宋体" w:eastAsia="宋体" w:cs="宋体"/>
          <w:szCs w:val="21"/>
        </w:rPr>
      </w:pPr>
    </w:p>
    <w:p>
      <w:pPr>
        <w:pStyle w:val="2"/>
        <w:rPr>
          <w:rFonts w:ascii="宋体" w:hAnsi="宋体" w:eastAsia="宋体" w:cs="宋体"/>
          <w:szCs w:val="21"/>
        </w:rPr>
      </w:pPr>
    </w:p>
    <w:p>
      <w:pPr>
        <w:pStyle w:val="2"/>
        <w:rPr>
          <w:rFonts w:ascii="宋体" w:hAnsi="宋体" w:eastAsia="宋体" w:cs="宋体"/>
          <w:szCs w:val="21"/>
        </w:rPr>
      </w:pPr>
    </w:p>
    <w:p>
      <w:pPr>
        <w:pStyle w:val="49"/>
        <w:keepNext w:val="0"/>
        <w:keepLines w:val="0"/>
        <w:pageBreakBefore w:val="0"/>
        <w:widowControl/>
        <w:shd w:val="clear"/>
        <w:kinsoku/>
        <w:wordWrap/>
        <w:overflowPunct/>
        <w:topLinePunct w:val="0"/>
        <w:autoSpaceDE/>
        <w:autoSpaceDN/>
        <w:bidi w:val="0"/>
        <w:adjustRightInd/>
        <w:snapToGrid/>
        <w:spacing w:before="567" w:after="680" w:afterLines="0"/>
        <w:ind w:left="425" w:hanging="425"/>
        <w:textAlignment w:val="auto"/>
        <w:rPr>
          <w:spacing w:val="320"/>
          <w:highlight w:val="none"/>
        </w:rPr>
        <w:sectPr>
          <w:footerReference r:id="rId10" w:type="default"/>
          <w:footerReference r:id="rId11" w:type="even"/>
          <w:pgSz w:w="11906" w:h="16838"/>
          <w:pgMar w:top="1417" w:right="1134" w:bottom="1134" w:left="1418" w:header="1417" w:footer="1134" w:gutter="0"/>
          <w:pgBorders>
            <w:top w:val="none" w:sz="0" w:space="0"/>
            <w:left w:val="none" w:sz="0" w:space="0"/>
            <w:bottom w:val="none" w:sz="0" w:space="0"/>
            <w:right w:val="none" w:sz="0" w:space="0"/>
          </w:pgBorders>
          <w:pgNumType w:fmt="upperRoman"/>
          <w:cols w:space="425" w:num="1"/>
          <w:docGrid w:type="lines" w:linePitch="312" w:charSpace="0"/>
        </w:sectPr>
      </w:pPr>
    </w:p>
    <w:p>
      <w:pPr>
        <w:keepNext w:val="0"/>
        <w:keepLines w:val="0"/>
        <w:pageBreakBefore w:val="0"/>
        <w:widowControl w:val="0"/>
        <w:shd w:val="clear"/>
        <w:kinsoku/>
        <w:wordWrap/>
        <w:overflowPunct/>
        <w:topLinePunct w:val="0"/>
        <w:autoSpaceDE/>
        <w:autoSpaceDN/>
        <w:bidi w:val="0"/>
        <w:adjustRightInd/>
        <w:snapToGrid w:val="0"/>
        <w:spacing w:before="567" w:after="680"/>
        <w:ind w:firstLine="0" w:firstLineChars="0"/>
        <w:jc w:val="center"/>
        <w:textAlignment w:val="auto"/>
        <w:outlineLvl w:val="0"/>
        <w:rPr>
          <w:rFonts w:hint="eastAsia" w:ascii="黑体" w:hAnsi="黑体" w:eastAsia="黑体" w:cs="黑体"/>
          <w:kern w:val="0"/>
          <w:sz w:val="32"/>
          <w:szCs w:val="32"/>
          <w:lang w:val="en-US" w:eastAsia="zh-CN"/>
        </w:rPr>
      </w:pPr>
      <w:bookmarkStart w:id="2" w:name="_Toc3628"/>
      <w:r>
        <w:rPr>
          <w:rFonts w:hint="eastAsia" w:ascii="黑体" w:hAnsi="黑体" w:eastAsia="黑体" w:cs="黑体"/>
          <w:kern w:val="0"/>
          <w:sz w:val="32"/>
          <w:szCs w:val="32"/>
          <w:lang w:val="en-US" w:eastAsia="zh-CN"/>
        </w:rPr>
        <w:t>前    言</w:t>
      </w:r>
      <w:bookmarkEnd w:id="2"/>
    </w:p>
    <w:p>
      <w:pPr>
        <w:shd w:val="clear"/>
        <w:snapToGrid w:val="0"/>
        <w:ind w:firstLine="420" w:firstLineChars="200"/>
        <w:rPr>
          <w:rFonts w:hint="eastAsia" w:ascii="宋体" w:hAnsi="宋体" w:eastAsia="宋体" w:cs="宋体"/>
          <w:kern w:val="0"/>
          <w:szCs w:val="21"/>
        </w:rPr>
      </w:pPr>
      <w:r>
        <w:rPr>
          <w:rFonts w:hint="eastAsia" w:ascii="宋体" w:hAnsi="宋体" w:eastAsia="宋体" w:cs="宋体"/>
          <w:kern w:val="0"/>
          <w:szCs w:val="21"/>
        </w:rPr>
        <w:t>本文件按照GB/T 1.1—2020《标准化工作导则  第1部分：标准化文件的结构和起草规则》的规定起草。</w:t>
      </w:r>
    </w:p>
    <w:p>
      <w:pPr>
        <w:shd w:val="clear"/>
        <w:snapToGrid w:val="0"/>
        <w:ind w:firstLine="420" w:firstLineChars="200"/>
        <w:rPr>
          <w:rFonts w:hint="eastAsia" w:ascii="宋体" w:hAnsi="宋体" w:eastAsia="宋体" w:cs="宋体"/>
          <w:kern w:val="0"/>
          <w:szCs w:val="21"/>
        </w:rPr>
      </w:pPr>
      <w:r>
        <w:rPr>
          <w:rFonts w:hint="eastAsia" w:ascii="宋体" w:hAnsi="宋体" w:eastAsia="宋体" w:cs="宋体"/>
          <w:kern w:val="0"/>
          <w:szCs w:val="21"/>
        </w:rPr>
        <w:t>请注意本文件的某些内容可能涉及专利。本文件的发布机构不承担识别专利的责任。</w:t>
      </w:r>
    </w:p>
    <w:p>
      <w:pPr>
        <w:shd w:val="clear"/>
        <w:snapToGrid w:val="0"/>
        <w:ind w:firstLine="420" w:firstLineChars="200"/>
        <w:rPr>
          <w:rFonts w:hint="eastAsia" w:ascii="宋体" w:hAnsi="宋体" w:eastAsia="宋体" w:cs="宋体"/>
          <w:kern w:val="0"/>
          <w:szCs w:val="21"/>
        </w:rPr>
      </w:pPr>
      <w:r>
        <w:rPr>
          <w:rFonts w:hint="eastAsia" w:ascii="宋体" w:hAnsi="宋体" w:eastAsia="宋体" w:cs="宋体"/>
          <w:kern w:val="0"/>
          <w:szCs w:val="21"/>
        </w:rPr>
        <w:t>本文件由苏州市自然资源和规划局</w:t>
      </w:r>
      <w:r>
        <w:rPr>
          <w:rFonts w:hint="eastAsia" w:ascii="宋体" w:hAnsi="宋体" w:eastAsia="宋体" w:cs="宋体"/>
          <w:kern w:val="0"/>
          <w:szCs w:val="21"/>
          <w:lang w:val="en-US" w:eastAsia="zh-CN"/>
        </w:rPr>
        <w:t>提出、</w:t>
      </w:r>
      <w:r>
        <w:rPr>
          <w:rFonts w:hint="eastAsia" w:ascii="宋体" w:hAnsi="宋体" w:eastAsia="宋体" w:cs="宋体"/>
          <w:kern w:val="0"/>
          <w:szCs w:val="21"/>
        </w:rPr>
        <w:t>归口</w:t>
      </w:r>
      <w:r>
        <w:rPr>
          <w:rFonts w:hint="eastAsia" w:ascii="宋体" w:hAnsi="宋体" w:eastAsia="宋体" w:cs="宋体"/>
          <w:kern w:val="0"/>
          <w:szCs w:val="21"/>
          <w:lang w:val="en-US" w:eastAsia="zh-CN"/>
        </w:rPr>
        <w:t>并组织实施</w:t>
      </w:r>
      <w:r>
        <w:rPr>
          <w:rFonts w:hint="eastAsia" w:ascii="宋体" w:hAnsi="宋体" w:eastAsia="宋体" w:cs="宋体"/>
          <w:kern w:val="0"/>
          <w:szCs w:val="21"/>
        </w:rPr>
        <w:t>。</w:t>
      </w:r>
    </w:p>
    <w:p>
      <w:pPr>
        <w:shd w:val="clear"/>
        <w:snapToGrid w:val="0"/>
        <w:ind w:firstLine="420" w:firstLineChars="200"/>
        <w:rPr>
          <w:rFonts w:hint="eastAsia" w:ascii="宋体" w:hAnsi="宋体" w:eastAsia="宋体" w:cs="宋体"/>
          <w:kern w:val="0"/>
          <w:szCs w:val="21"/>
          <w:lang w:eastAsia="zh-CN"/>
        </w:rPr>
      </w:pPr>
      <w:r>
        <w:rPr>
          <w:rFonts w:hint="eastAsia" w:ascii="宋体" w:hAnsi="宋体" w:eastAsia="宋体" w:cs="宋体"/>
          <w:kern w:val="0"/>
          <w:szCs w:val="21"/>
        </w:rPr>
        <w:t>本文件起草单位：苏州市不动产登记中心、苏州市自然资源和规划局、苏州市轨道交通集团有限公司、江苏拓普森房地产资产评估规划测绘有限公司、武汉天恒信息技术有限公司、苏州麦斯达夫标准技术服务有限公司</w:t>
      </w:r>
      <w:r>
        <w:rPr>
          <w:rFonts w:hint="eastAsia" w:ascii="宋体" w:hAnsi="宋体" w:eastAsia="宋体" w:cs="宋体"/>
          <w:kern w:val="0"/>
          <w:szCs w:val="21"/>
          <w:lang w:eastAsia="zh-CN"/>
        </w:rPr>
        <w:t>。</w:t>
      </w:r>
      <w:bookmarkStart w:id="309" w:name="_GoBack"/>
      <w:bookmarkEnd w:id="309"/>
    </w:p>
    <w:p>
      <w:pPr>
        <w:shd w:val="clear"/>
        <w:snapToGrid w:val="0"/>
        <w:ind w:firstLine="420" w:firstLineChars="200"/>
        <w:rPr>
          <w:rFonts w:ascii="宋体" w:hAnsi="宋体" w:eastAsia="宋体" w:cs="宋体"/>
          <w:kern w:val="0"/>
          <w:szCs w:val="21"/>
        </w:rPr>
      </w:pPr>
      <w:r>
        <w:rPr>
          <w:rFonts w:hint="eastAsia" w:ascii="宋体" w:hAnsi="宋体" w:eastAsia="宋体" w:cs="宋体"/>
          <w:kern w:val="0"/>
          <w:szCs w:val="21"/>
        </w:rPr>
        <w:t>本文件主要起草人：莫栋升、邵繁荣、周晓静、吴志峰、陈斌、李慕文、张伟锋、付强、孙华、朱楠楠、胡幼纲、李春武、吴秋根、周晓洁、宗皓、常香、许丽、张子璇、周小惠、陈宗佑、杨磊、王钊柱、谢婷婷</w:t>
      </w:r>
      <w:r>
        <w:rPr>
          <w:rFonts w:hint="eastAsia" w:ascii="宋体" w:hAnsi="宋体" w:eastAsia="宋体" w:cs="宋体"/>
          <w:kern w:val="0"/>
          <w:szCs w:val="21"/>
          <w:lang w:eastAsia="zh-CN"/>
        </w:rPr>
        <w:t>。</w:t>
      </w:r>
    </w:p>
    <w:p>
      <w:pPr>
        <w:snapToGrid w:val="0"/>
        <w:ind w:firstLine="420" w:firstLineChars="200"/>
        <w:rPr>
          <w:rFonts w:ascii="宋体" w:hAnsi="宋体" w:eastAsia="宋体" w:cs="宋体"/>
          <w:kern w:val="0"/>
          <w:szCs w:val="21"/>
        </w:rPr>
        <w:sectPr>
          <w:footerReference r:id="rId13" w:type="default"/>
          <w:headerReference r:id="rId12" w:type="even"/>
          <w:footerReference r:id="rId14" w:type="even"/>
          <w:pgSz w:w="11906" w:h="16838"/>
          <w:pgMar w:top="1417" w:right="1134" w:bottom="1134" w:left="1418" w:header="1417" w:footer="1134" w:gutter="0"/>
          <w:pgBorders>
            <w:top w:val="none" w:sz="0" w:space="0"/>
            <w:left w:val="none" w:sz="0" w:space="0"/>
            <w:bottom w:val="none" w:sz="0" w:space="0"/>
            <w:right w:val="none" w:sz="0" w:space="0"/>
          </w:pgBorders>
          <w:pgNumType w:fmt="upperRoman"/>
          <w:cols w:space="425" w:num="1"/>
          <w:docGrid w:type="lines" w:linePitch="312" w:charSpace="0"/>
        </w:sectPr>
      </w:pPr>
    </w:p>
    <w:p>
      <w:pPr>
        <w:pStyle w:val="2"/>
      </w:pPr>
    </w:p>
    <w:p>
      <w:pPr>
        <w:widowControl/>
        <w:rPr>
          <w:rFonts w:ascii="黑体" w:hAnsi="黑体" w:eastAsia="黑体"/>
          <w:bCs/>
          <w:sz w:val="32"/>
          <w:szCs w:val="32"/>
        </w:rPr>
        <w:sectPr>
          <w:footerReference r:id="rId16" w:type="default"/>
          <w:headerReference r:id="rId15" w:type="even"/>
          <w:footerReference r:id="rId17" w:type="even"/>
          <w:pgSz w:w="11906" w:h="16838"/>
          <w:pgMar w:top="1417" w:right="1134" w:bottom="1134" w:left="1418" w:header="1417" w:footer="1134" w:gutter="0"/>
          <w:pgBorders>
            <w:top w:val="none" w:sz="0" w:space="0"/>
            <w:left w:val="none" w:sz="0" w:space="0"/>
            <w:bottom w:val="none" w:sz="0" w:space="0"/>
            <w:right w:val="none" w:sz="0" w:space="0"/>
          </w:pgBorders>
          <w:pgNumType w:fmt="upperRoman"/>
          <w:cols w:space="425" w:num="1"/>
          <w:docGrid w:type="lines" w:linePitch="312" w:charSpace="0"/>
        </w:sectPr>
      </w:pPr>
      <w:bookmarkStart w:id="3" w:name="SectionMark4"/>
    </w:p>
    <w:p>
      <w:pPr>
        <w:keepNext w:val="0"/>
        <w:keepLines w:val="0"/>
        <w:pageBreakBefore w:val="0"/>
        <w:widowControl/>
        <w:kinsoku/>
        <w:wordWrap/>
        <w:overflowPunct/>
        <w:topLinePunct w:val="0"/>
        <w:autoSpaceDE/>
        <w:autoSpaceDN/>
        <w:bidi w:val="0"/>
        <w:adjustRightInd/>
        <w:snapToGrid/>
        <w:spacing w:before="567" w:after="680"/>
        <w:jc w:val="center"/>
        <w:textAlignment w:val="auto"/>
        <w:rPr>
          <w:rFonts w:hint="default" w:ascii="黑体" w:hAnsi="黑体" w:eastAsia="黑体"/>
          <w:bCs/>
          <w:sz w:val="32"/>
          <w:szCs w:val="32"/>
          <w:lang w:val="en-US" w:eastAsia="zh-CN"/>
        </w:rPr>
      </w:pPr>
      <w:r>
        <w:rPr>
          <w:rFonts w:hint="default" w:ascii="黑体" w:hAnsi="黑体" w:eastAsia="黑体"/>
          <w:bCs/>
          <w:sz w:val="32"/>
          <w:szCs w:val="32"/>
          <w:lang w:val="en-US" w:eastAsia="zh-CN"/>
        </w:rPr>
        <w:t>地下空间地籍调查规范</w:t>
      </w:r>
    </w:p>
    <w:bookmarkEnd w:id="3"/>
    <w:p>
      <w:pPr>
        <w:pStyle w:val="66"/>
        <w:spacing w:before="312" w:after="312"/>
        <w:rPr>
          <w:rFonts w:hint="eastAsia"/>
        </w:rPr>
      </w:pPr>
      <w:bookmarkStart w:id="4" w:name="_Toc51147912"/>
      <w:bookmarkStart w:id="5" w:name="_Toc67401897"/>
      <w:bookmarkStart w:id="6" w:name="_Toc87811368"/>
      <w:bookmarkStart w:id="7" w:name="_Toc30515"/>
      <w:bookmarkStart w:id="8" w:name="_Toc21213"/>
      <w:bookmarkStart w:id="9" w:name="_Toc31326"/>
      <w:bookmarkStart w:id="10" w:name="_Toc47973431"/>
      <w:bookmarkStart w:id="11" w:name="_Toc51663569"/>
      <w:bookmarkStart w:id="12" w:name="_Toc48028397"/>
      <w:bookmarkStart w:id="13" w:name="_Toc47964470"/>
      <w:bookmarkStart w:id="14" w:name="_Toc67393169"/>
      <w:bookmarkStart w:id="15" w:name="_Toc48569571"/>
      <w:bookmarkStart w:id="16" w:name="_Toc46494722"/>
      <w:bookmarkStart w:id="17" w:name="_Toc122448156"/>
      <w:bookmarkStart w:id="18" w:name="_Toc48050151"/>
      <w:bookmarkStart w:id="19" w:name="_Toc15741"/>
      <w:bookmarkStart w:id="20" w:name="_Toc10375"/>
      <w:bookmarkStart w:id="21" w:name="_Toc48572088"/>
      <w:bookmarkStart w:id="22" w:name="_Toc40454690"/>
      <w:bookmarkStart w:id="23" w:name="_Toc48028304"/>
      <w:bookmarkStart w:id="24" w:name="_Toc87811223"/>
      <w:bookmarkStart w:id="25" w:name="_Toc47964512"/>
      <w:bookmarkStart w:id="26" w:name="_Toc48049835"/>
      <w:bookmarkStart w:id="27" w:name="_Toc115339701"/>
      <w:bookmarkStart w:id="28" w:name="_Toc66965087"/>
      <w:bookmarkStart w:id="29" w:name="_Toc47973642"/>
      <w:r>
        <w:rPr>
          <w:rFonts w:hint="eastAsia"/>
        </w:rPr>
        <w:t>范围</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pPr>
        <w:pStyle w:val="51"/>
        <w:rPr>
          <w:rFonts w:hint="eastAsia"/>
        </w:rPr>
      </w:pPr>
      <w:r>
        <w:rPr>
          <w:rFonts w:hint="eastAsia"/>
        </w:rPr>
        <w:t>本文件规定了地下空间地籍调查的总则、地下空间划分、代码编制、权属调查、调查数据成果处理、成果检查与整理归档等要求。</w:t>
      </w:r>
    </w:p>
    <w:p>
      <w:pPr>
        <w:pStyle w:val="51"/>
        <w:rPr>
          <w:rFonts w:hint="eastAsia"/>
        </w:rPr>
      </w:pPr>
      <w:r>
        <w:rPr>
          <w:rFonts w:hint="eastAsia"/>
        </w:rPr>
        <w:t>本文件适用于不动产登记机构、地籍调查等部门对地下车位、轨道交通、人防工程、地下商场、地下住宅等地下定着物（构筑物）的不动产单元设定和地籍调查。</w:t>
      </w:r>
    </w:p>
    <w:p>
      <w:pPr>
        <w:pStyle w:val="66"/>
        <w:spacing w:before="312" w:after="312"/>
        <w:rPr>
          <w:rFonts w:hint="eastAsia"/>
        </w:rPr>
      </w:pPr>
      <w:bookmarkStart w:id="30" w:name="_Toc46494723"/>
      <w:bookmarkStart w:id="31" w:name="_Toc87811369"/>
      <w:bookmarkStart w:id="32" w:name="_Toc48569572"/>
      <w:bookmarkStart w:id="33" w:name="_Toc87811224"/>
      <w:bookmarkStart w:id="34" w:name="_Toc48028398"/>
      <w:bookmarkStart w:id="35" w:name="_Toc47973432"/>
      <w:bookmarkStart w:id="36" w:name="_Toc48049836"/>
      <w:bookmarkStart w:id="37" w:name="_Toc5397"/>
      <w:bookmarkStart w:id="38" w:name="_Toc51663570"/>
      <w:bookmarkStart w:id="39" w:name="_Toc19334"/>
      <w:bookmarkStart w:id="40" w:name="_Toc51147913"/>
      <w:bookmarkStart w:id="41" w:name="_Toc47964471"/>
      <w:bookmarkStart w:id="42" w:name="_Toc40454691"/>
      <w:bookmarkStart w:id="43" w:name="_Toc115339702"/>
      <w:bookmarkStart w:id="44" w:name="_Toc67401898"/>
      <w:bookmarkStart w:id="45" w:name="_Toc48050152"/>
      <w:bookmarkStart w:id="46" w:name="_Toc66965088"/>
      <w:bookmarkStart w:id="47" w:name="_Toc47964513"/>
      <w:bookmarkStart w:id="48" w:name="_Toc29099"/>
      <w:bookmarkStart w:id="49" w:name="_Toc47973643"/>
      <w:bookmarkStart w:id="50" w:name="_Toc67393170"/>
      <w:bookmarkStart w:id="51" w:name="_Toc48572089"/>
      <w:bookmarkStart w:id="52" w:name="_Toc48028305"/>
      <w:bookmarkStart w:id="53" w:name="_Toc27904"/>
      <w:bookmarkStart w:id="54" w:name="_Toc122448157"/>
      <w:bookmarkStart w:id="55" w:name="_Toc27351"/>
      <w:r>
        <w:rPr>
          <w:rFonts w:hint="eastAsia"/>
        </w:rPr>
        <w:t>规范性引用文件</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pPr>
        <w:pStyle w:val="51"/>
        <w:rPr>
          <w:rFonts w:hint="eastAsia"/>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51"/>
        <w:rPr>
          <w:rFonts w:hint="eastAsia"/>
        </w:rPr>
      </w:pPr>
      <w:r>
        <w:rPr>
          <w:rFonts w:hint="eastAsia"/>
        </w:rPr>
        <w:t>GB/T 2260  中华人民共和国行政区划代码</w:t>
      </w:r>
    </w:p>
    <w:p>
      <w:pPr>
        <w:pStyle w:val="51"/>
        <w:rPr>
          <w:rFonts w:hint="eastAsia"/>
        </w:rPr>
      </w:pPr>
      <w:r>
        <w:rPr>
          <w:rFonts w:hint="eastAsia"/>
        </w:rPr>
        <w:t>GB/T 17986.1  房产测量规范 第1单元：房产测量规定</w:t>
      </w:r>
    </w:p>
    <w:p>
      <w:pPr>
        <w:pStyle w:val="51"/>
        <w:rPr>
          <w:rFonts w:hint="eastAsia"/>
        </w:rPr>
      </w:pPr>
      <w:r>
        <w:rPr>
          <w:rFonts w:hint="eastAsia"/>
        </w:rPr>
        <w:t>GB/T 24356—2023  测绘成果质量检查与验收规定</w:t>
      </w:r>
    </w:p>
    <w:p>
      <w:pPr>
        <w:pStyle w:val="51"/>
        <w:rPr>
          <w:rFonts w:hint="eastAsia"/>
        </w:rPr>
      </w:pPr>
      <w:r>
        <w:rPr>
          <w:rFonts w:hint="eastAsia"/>
        </w:rPr>
        <w:t>GB/T 35636—2017  城市地下空间测绘规范</w:t>
      </w:r>
    </w:p>
    <w:p>
      <w:pPr>
        <w:pStyle w:val="51"/>
        <w:rPr>
          <w:rFonts w:hint="eastAsia"/>
        </w:rPr>
      </w:pPr>
      <w:r>
        <w:rPr>
          <w:rFonts w:hint="eastAsia"/>
        </w:rPr>
        <w:t>GB/T 37346—2019  不动产单元设定与代码编制规则</w:t>
      </w:r>
    </w:p>
    <w:p>
      <w:pPr>
        <w:pStyle w:val="51"/>
        <w:rPr>
          <w:rFonts w:hint="eastAsia"/>
        </w:rPr>
      </w:pPr>
      <w:r>
        <w:rPr>
          <w:rFonts w:hint="eastAsia"/>
        </w:rPr>
        <w:t>GB/T 40771—2021  城市不动产三维空间要素表达</w:t>
      </w:r>
    </w:p>
    <w:p>
      <w:pPr>
        <w:pStyle w:val="51"/>
        <w:rPr>
          <w:rFonts w:hint="eastAsia"/>
        </w:rPr>
      </w:pPr>
      <w:r>
        <w:rPr>
          <w:rFonts w:hint="eastAsia"/>
        </w:rPr>
        <w:t>GB/T 42547—2023  地籍调查规程</w:t>
      </w:r>
    </w:p>
    <w:p>
      <w:pPr>
        <w:pStyle w:val="51"/>
        <w:rPr>
          <w:rFonts w:hint="eastAsia"/>
        </w:rPr>
      </w:pPr>
      <w:r>
        <w:rPr>
          <w:rFonts w:hint="eastAsia"/>
        </w:rPr>
        <w:t>TD/T 1077—2023  地籍调查基本术语</w:t>
      </w:r>
    </w:p>
    <w:p>
      <w:pPr>
        <w:pStyle w:val="66"/>
        <w:spacing w:before="312" w:after="312"/>
        <w:rPr>
          <w:rFonts w:hint="eastAsia"/>
          <w:szCs w:val="21"/>
        </w:rPr>
      </w:pPr>
      <w:bookmarkStart w:id="56" w:name="_Toc87811225"/>
      <w:bookmarkStart w:id="57" w:name="_Toc87811370"/>
      <w:bookmarkStart w:id="58" w:name="_Toc22532"/>
      <w:bookmarkStart w:id="59" w:name="_Toc115339703"/>
      <w:bookmarkStart w:id="60" w:name="_Toc122448158"/>
      <w:bookmarkStart w:id="61" w:name="_Toc67393171"/>
      <w:bookmarkStart w:id="62" w:name="_Toc67401899"/>
      <w:r>
        <w:rPr>
          <w:rFonts w:hint="eastAsia"/>
          <w:szCs w:val="21"/>
        </w:rPr>
        <w:t>术语和定义</w:t>
      </w:r>
      <w:bookmarkEnd w:id="56"/>
      <w:bookmarkEnd w:id="57"/>
      <w:bookmarkEnd w:id="58"/>
      <w:bookmarkEnd w:id="59"/>
      <w:bookmarkEnd w:id="60"/>
      <w:bookmarkEnd w:id="61"/>
      <w:bookmarkEnd w:id="62"/>
    </w:p>
    <w:p>
      <w:pPr>
        <w:pStyle w:val="51"/>
        <w:rPr>
          <w:rFonts w:hint="eastAsia" w:ascii="黑体" w:hAnsi="黑体" w:eastAsia="黑体"/>
        </w:rPr>
      </w:pPr>
      <w:r>
        <w:rPr>
          <w:rFonts w:hint="eastAsia"/>
        </w:rPr>
        <w:t>下列术语和定义适用于本文件。</w:t>
      </w:r>
    </w:p>
    <w:p>
      <w:pPr>
        <w:pStyle w:val="63"/>
        <w:ind w:left="420" w:hanging="420" w:hangingChars="200"/>
        <w:rPr>
          <w:rFonts w:ascii="黑体" w:hAnsi="黑体" w:eastAsia="黑体"/>
        </w:rPr>
      </w:pPr>
    </w:p>
    <w:p>
      <w:pPr>
        <w:pStyle w:val="63"/>
        <w:numPr>
          <w:ilvl w:val="2"/>
          <w:numId w:val="0"/>
        </w:numPr>
        <w:ind w:leftChars="-200" w:firstLine="840" w:firstLineChars="400"/>
        <w:rPr>
          <w:rFonts w:ascii="黑体" w:hAnsi="黑体" w:eastAsia="黑体"/>
        </w:rPr>
      </w:pPr>
      <w:r>
        <w:rPr>
          <w:rFonts w:hint="eastAsia" w:ascii="黑体" w:hAnsi="黑体" w:eastAsia="黑体"/>
        </w:rPr>
        <w:t xml:space="preserve">地下空间  </w:t>
      </w:r>
      <w:bookmarkStart w:id="63" w:name="_Hlk182211662"/>
      <w:r>
        <w:rPr>
          <w:rFonts w:hint="eastAsia" w:ascii="黑体" w:hAnsi="黑体" w:eastAsia="黑体"/>
        </w:rPr>
        <w:t>underground space</w:t>
      </w:r>
      <w:bookmarkEnd w:id="63"/>
    </w:p>
    <w:p>
      <w:pPr>
        <w:pStyle w:val="67"/>
        <w:ind w:firstLine="420"/>
      </w:pPr>
      <w:bookmarkStart w:id="64" w:name="_Hlk182211669"/>
      <w:r>
        <w:rPr>
          <w:rFonts w:hint="eastAsia"/>
        </w:rPr>
        <w:t>为满足生产和生活等需求在地表以下开发、建设和利用的空间。</w:t>
      </w:r>
    </w:p>
    <w:bookmarkEnd w:id="64"/>
    <w:p>
      <w:pPr>
        <w:pStyle w:val="67"/>
        <w:ind w:firstLine="420"/>
      </w:pPr>
      <w:r>
        <w:rPr>
          <w:rFonts w:hint="eastAsia"/>
        </w:rPr>
        <w:t>[来源：</w:t>
      </w:r>
      <w:bookmarkStart w:id="65" w:name="_Hlk182211686"/>
      <w:r>
        <w:rPr>
          <w:rFonts w:hint="eastAsia"/>
        </w:rPr>
        <w:t>GB/T 35636—2017，3.1</w:t>
      </w:r>
      <w:bookmarkEnd w:id="65"/>
      <w:r>
        <w:rPr>
          <w:rFonts w:hint="eastAsia"/>
        </w:rPr>
        <w:t>]</w:t>
      </w:r>
    </w:p>
    <w:p>
      <w:pPr>
        <w:pStyle w:val="63"/>
        <w:ind w:left="420" w:hanging="420" w:hangingChars="200"/>
        <w:rPr>
          <w:rFonts w:ascii="黑体" w:hAnsi="黑体" w:eastAsia="黑体"/>
        </w:rPr>
      </w:pPr>
      <w:bookmarkStart w:id="66" w:name="_Hlk182211696"/>
    </w:p>
    <w:p>
      <w:pPr>
        <w:pStyle w:val="63"/>
        <w:numPr>
          <w:ilvl w:val="0"/>
          <w:numId w:val="0"/>
        </w:numPr>
        <w:ind w:left="420"/>
        <w:rPr>
          <w:rFonts w:hint="eastAsia" w:ascii="黑体" w:hAnsi="黑体" w:eastAsia="黑体"/>
          <w:highlight w:val="none"/>
          <w:lang w:val="en-US" w:eastAsia="zh-CN"/>
        </w:rPr>
      </w:pPr>
      <w:r>
        <w:rPr>
          <w:rFonts w:hint="eastAsia" w:ascii="黑体" w:hAnsi="黑体" w:eastAsia="黑体"/>
          <w:highlight w:val="none"/>
          <w:lang w:val="en-US" w:eastAsia="zh-CN"/>
        </w:rPr>
        <w:t>结建地下空间  combinational construction underground spacecadastral parcel</w:t>
      </w:r>
    </w:p>
    <w:p>
      <w:pPr>
        <w:pStyle w:val="67"/>
        <w:ind w:firstLine="420"/>
      </w:pPr>
      <w:bookmarkStart w:id="67" w:name="_Hlk182211713"/>
      <w:r>
        <w:rPr>
          <w:rFonts w:hint="eastAsia"/>
        </w:rPr>
        <w:t>结合地面建筑一并开发建设的地下空间</w:t>
      </w:r>
      <w:bookmarkEnd w:id="66"/>
      <w:r>
        <w:rPr>
          <w:rFonts w:hint="eastAsia"/>
        </w:rPr>
        <w:t>。</w:t>
      </w:r>
    </w:p>
    <w:bookmarkEnd w:id="67"/>
    <w:p>
      <w:pPr>
        <w:pStyle w:val="63"/>
        <w:ind w:left="420" w:hanging="420" w:hangingChars="200"/>
        <w:rPr>
          <w:rFonts w:ascii="黑体" w:hAnsi="黑体" w:eastAsia="黑体"/>
        </w:rPr>
      </w:pPr>
      <w:bookmarkStart w:id="68" w:name="_Hlk182211782"/>
    </w:p>
    <w:p>
      <w:pPr>
        <w:pStyle w:val="63"/>
        <w:numPr>
          <w:ilvl w:val="0"/>
          <w:numId w:val="0"/>
        </w:numPr>
        <w:ind w:left="420"/>
        <w:rPr>
          <w:rFonts w:hint="eastAsia" w:ascii="黑体" w:hAnsi="黑体" w:eastAsia="黑体"/>
          <w:highlight w:val="none"/>
          <w:lang w:val="en-US" w:eastAsia="zh-CN"/>
        </w:rPr>
      </w:pPr>
      <w:r>
        <w:rPr>
          <w:rFonts w:hint="eastAsia" w:ascii="黑体" w:hAnsi="黑体" w:eastAsia="黑体"/>
          <w:highlight w:val="none"/>
          <w:lang w:val="en-US" w:eastAsia="zh-CN"/>
        </w:rPr>
        <w:t>单建地下空间  single construction underground spacecadastral parcel</w:t>
      </w:r>
      <w:bookmarkEnd w:id="68"/>
    </w:p>
    <w:p>
      <w:pPr>
        <w:pStyle w:val="67"/>
        <w:ind w:firstLine="420"/>
      </w:pPr>
      <w:bookmarkStart w:id="69" w:name="_Hlk182211807"/>
      <w:r>
        <w:rPr>
          <w:rFonts w:hint="eastAsia"/>
        </w:rPr>
        <w:t>独立开发建设的地下空间。</w:t>
      </w:r>
    </w:p>
    <w:bookmarkEnd w:id="69"/>
    <w:p>
      <w:pPr>
        <w:pStyle w:val="63"/>
        <w:ind w:left="420" w:hanging="420" w:hangingChars="200"/>
        <w:rPr>
          <w:rFonts w:ascii="黑体" w:hAnsi="黑体" w:eastAsia="黑体"/>
        </w:rPr>
      </w:pPr>
      <w:bookmarkStart w:id="70" w:name="_Hlk182211828"/>
    </w:p>
    <w:p>
      <w:pPr>
        <w:pStyle w:val="63"/>
        <w:numPr>
          <w:ilvl w:val="0"/>
          <w:numId w:val="0"/>
        </w:numPr>
        <w:ind w:left="420"/>
        <w:rPr>
          <w:rFonts w:hint="eastAsia" w:ascii="黑体" w:hAnsi="黑体" w:eastAsia="黑体"/>
          <w:highlight w:val="none"/>
          <w:lang w:val="en-US" w:eastAsia="zh-CN"/>
        </w:rPr>
      </w:pPr>
      <w:r>
        <w:rPr>
          <w:rFonts w:hint="eastAsia" w:ascii="黑体" w:hAnsi="黑体" w:eastAsia="黑体"/>
          <w:highlight w:val="none"/>
          <w:lang w:val="en-US" w:eastAsia="zh-CN"/>
        </w:rPr>
        <w:t>地下车位  underground parking spaces</w:t>
      </w:r>
      <w:bookmarkEnd w:id="70"/>
    </w:p>
    <w:p>
      <w:pPr>
        <w:pStyle w:val="67"/>
        <w:ind w:firstLine="420"/>
      </w:pPr>
      <w:bookmarkStart w:id="71" w:name="_Hlk182211838"/>
      <w:r>
        <w:rPr>
          <w:rFonts w:hint="eastAsia"/>
        </w:rPr>
        <w:t>依法取得国有建设用地使用权，达到规划、设计、使用要求的，用于停放机动车且明确划分的地下车位，不包括机械式停车位、人防车位。</w:t>
      </w:r>
    </w:p>
    <w:bookmarkEnd w:id="71"/>
    <w:p>
      <w:pPr>
        <w:pStyle w:val="63"/>
        <w:ind w:left="420" w:hanging="420" w:hangingChars="200"/>
        <w:rPr>
          <w:rFonts w:ascii="黑体" w:hAnsi="黑体" w:eastAsia="黑体"/>
        </w:rPr>
      </w:pPr>
    </w:p>
    <w:p>
      <w:pPr>
        <w:pStyle w:val="63"/>
        <w:numPr>
          <w:ilvl w:val="0"/>
          <w:numId w:val="0"/>
        </w:numPr>
        <w:ind w:left="420"/>
        <w:rPr>
          <w:rFonts w:hint="eastAsia" w:ascii="黑体" w:hAnsi="黑体" w:eastAsia="黑体"/>
          <w:highlight w:val="none"/>
          <w:lang w:val="en-US" w:eastAsia="zh-CN"/>
        </w:rPr>
      </w:pPr>
      <w:r>
        <w:rPr>
          <w:rFonts w:hint="eastAsia" w:ascii="黑体" w:hAnsi="黑体" w:eastAsia="黑体"/>
          <w:highlight w:val="none"/>
          <w:lang w:val="en-US" w:eastAsia="zh-CN"/>
        </w:rPr>
        <w:t>不动产单元  real property unit</w:t>
      </w:r>
    </w:p>
    <w:p>
      <w:pPr>
        <w:pStyle w:val="67"/>
        <w:ind w:firstLine="420"/>
      </w:pPr>
      <w:r>
        <w:rPr>
          <w:rFonts w:hint="eastAsia"/>
        </w:rPr>
        <w:t>权属界线固定封闭且具有独立使用价值的地下空间，由定着物单元和其所在宗地共同组成，是不动产登记的基本单位。</w:t>
      </w:r>
    </w:p>
    <w:p>
      <w:pPr>
        <w:pStyle w:val="67"/>
        <w:ind w:firstLine="420"/>
      </w:pPr>
      <w:r>
        <w:rPr>
          <w:rFonts w:hint="eastAsia"/>
        </w:rPr>
        <w:t>[来源：</w:t>
      </w:r>
      <w:bookmarkStart w:id="72" w:name="OLE_LINK2"/>
      <w:r>
        <w:rPr>
          <w:rFonts w:hint="eastAsia"/>
        </w:rPr>
        <w:t>GB/T 37346</w:t>
      </w:r>
      <w:bookmarkEnd w:id="72"/>
      <w:r>
        <w:rPr>
          <w:rFonts w:hint="eastAsia"/>
        </w:rPr>
        <w:t>—2019，3.16，有修改]</w:t>
      </w:r>
    </w:p>
    <w:p>
      <w:pPr>
        <w:pStyle w:val="63"/>
        <w:ind w:left="420" w:hanging="420" w:hangingChars="200"/>
        <w:rPr>
          <w:rFonts w:ascii="黑体" w:hAnsi="黑体" w:eastAsia="黑体"/>
        </w:rPr>
      </w:pPr>
    </w:p>
    <w:p>
      <w:pPr>
        <w:pStyle w:val="63"/>
        <w:numPr>
          <w:ilvl w:val="0"/>
          <w:numId w:val="0"/>
        </w:numPr>
        <w:ind w:left="420"/>
        <w:rPr>
          <w:rFonts w:hint="eastAsia" w:ascii="黑体" w:hAnsi="黑体" w:eastAsia="黑体"/>
          <w:highlight w:val="none"/>
          <w:lang w:val="en-US" w:eastAsia="zh-CN"/>
        </w:rPr>
      </w:pPr>
      <w:r>
        <w:rPr>
          <w:rFonts w:hint="eastAsia" w:ascii="黑体" w:hAnsi="黑体" w:eastAsia="黑体"/>
          <w:highlight w:val="none"/>
          <w:lang w:val="en-US" w:eastAsia="zh-CN"/>
        </w:rPr>
        <w:t>不动产单元代码  real property unit identifier</w:t>
      </w:r>
    </w:p>
    <w:p>
      <w:pPr>
        <w:pStyle w:val="67"/>
        <w:ind w:firstLine="420"/>
      </w:pPr>
      <w:r>
        <w:rPr>
          <w:rFonts w:hint="eastAsia"/>
        </w:rPr>
        <w:t>按一定的规则赋予不动产单元的唯一和可识别的标识码。</w:t>
      </w:r>
    </w:p>
    <w:p>
      <w:pPr>
        <w:pStyle w:val="67"/>
        <w:ind w:firstLine="420"/>
      </w:pPr>
      <w:r>
        <w:rPr>
          <w:rFonts w:hint="eastAsia"/>
        </w:rPr>
        <w:t>[来源：GB/T 37346—2019，3.17]</w:t>
      </w:r>
    </w:p>
    <w:p>
      <w:pPr>
        <w:pStyle w:val="63"/>
        <w:ind w:left="420" w:hanging="420" w:hangingChars="200"/>
        <w:rPr>
          <w:rFonts w:ascii="黑体" w:hAnsi="黑体" w:eastAsia="黑体"/>
        </w:rPr>
      </w:pPr>
    </w:p>
    <w:p>
      <w:pPr>
        <w:pStyle w:val="63"/>
        <w:numPr>
          <w:ilvl w:val="0"/>
          <w:numId w:val="0"/>
        </w:numPr>
        <w:ind w:left="420"/>
        <w:rPr>
          <w:rFonts w:hint="eastAsia" w:ascii="黑体" w:hAnsi="黑体" w:eastAsia="黑体"/>
          <w:highlight w:val="none"/>
          <w:lang w:val="en-US" w:eastAsia="zh-CN"/>
        </w:rPr>
      </w:pPr>
      <w:r>
        <w:rPr>
          <w:rFonts w:hint="eastAsia" w:ascii="黑体" w:hAnsi="黑体" w:eastAsia="黑体"/>
          <w:highlight w:val="none"/>
          <w:lang w:val="en-US" w:eastAsia="zh-CN"/>
        </w:rPr>
        <w:t>地籍调查  cadastral survey</w:t>
      </w:r>
    </w:p>
    <w:p>
      <w:pPr>
        <w:pStyle w:val="67"/>
        <w:ind w:firstLine="420"/>
      </w:pPr>
      <w:r>
        <w:rPr>
          <w:rFonts w:hint="eastAsia"/>
        </w:rPr>
        <w:t>通过权属调查和地籍测绘，全面查清地下空间定着物及其所在宗地的权属、位置、界址、数量、质量、利用、权利限制、公共管制、面积、用途等状况。</w:t>
      </w:r>
    </w:p>
    <w:p>
      <w:pPr>
        <w:pStyle w:val="67"/>
        <w:ind w:firstLine="420"/>
      </w:pPr>
      <w:r>
        <w:rPr>
          <w:rFonts w:hint="eastAsia"/>
        </w:rPr>
        <w:t>[来源：TD/T 1077—2023，5.3，有修改]</w:t>
      </w:r>
    </w:p>
    <w:p>
      <w:pPr>
        <w:pStyle w:val="63"/>
        <w:ind w:left="420" w:hanging="420" w:hangingChars="200"/>
        <w:rPr>
          <w:rFonts w:ascii="黑体" w:hAnsi="黑体" w:eastAsia="黑体"/>
        </w:rPr>
      </w:pPr>
    </w:p>
    <w:p>
      <w:pPr>
        <w:pStyle w:val="63"/>
        <w:numPr>
          <w:ilvl w:val="0"/>
          <w:numId w:val="0"/>
        </w:numPr>
        <w:ind w:left="420"/>
        <w:rPr>
          <w:rFonts w:hint="eastAsia" w:ascii="黑体" w:hAnsi="黑体" w:eastAsia="黑体"/>
          <w:highlight w:val="none"/>
          <w:lang w:val="en-US" w:eastAsia="zh-CN"/>
        </w:rPr>
      </w:pPr>
      <w:r>
        <w:rPr>
          <w:rFonts w:hint="eastAsia" w:ascii="黑体" w:hAnsi="黑体" w:eastAsia="黑体"/>
          <w:highlight w:val="none"/>
          <w:lang w:val="en-US" w:eastAsia="zh-CN"/>
        </w:rPr>
        <w:t>六至  adjoining properties in 3D space</w:t>
      </w:r>
    </w:p>
    <w:p>
      <w:pPr>
        <w:pStyle w:val="67"/>
        <w:ind w:firstLine="420"/>
      </w:pPr>
      <w:r>
        <w:rPr>
          <w:rFonts w:hint="eastAsia"/>
        </w:rPr>
        <w:t>描述不动产三维空间要素的上、下、东、南、西、北六个方位上或紧密邻接的其他权体。</w:t>
      </w:r>
    </w:p>
    <w:p>
      <w:pPr>
        <w:pStyle w:val="63"/>
        <w:numPr>
          <w:ilvl w:val="0"/>
          <w:numId w:val="0"/>
        </w:numPr>
        <w:ind w:left="420"/>
        <w:rPr>
          <w:rFonts w:hint="eastAsia" w:ascii="黑体" w:hAnsi="黑体" w:eastAsia="黑体"/>
          <w:highlight w:val="none"/>
          <w:lang w:val="en-US" w:eastAsia="zh-CN"/>
        </w:rPr>
      </w:pPr>
      <w:r>
        <w:rPr>
          <w:rFonts w:hint="eastAsia"/>
        </w:rPr>
        <w:t>[来源：GB/T 40771—2021]</w:t>
      </w:r>
    </w:p>
    <w:p>
      <w:pPr>
        <w:pStyle w:val="66"/>
        <w:spacing w:before="312" w:after="312"/>
      </w:pPr>
      <w:bookmarkStart w:id="73" w:name="_Toc176447749"/>
      <w:bookmarkStart w:id="74" w:name="_Toc12060"/>
      <w:bookmarkStart w:id="75" w:name="_Toc180416745"/>
      <w:bookmarkStart w:id="76" w:name="_Toc176265079"/>
      <w:bookmarkStart w:id="77" w:name="_Toc181183216"/>
      <w:bookmarkStart w:id="78" w:name="_Toc180416794"/>
      <w:bookmarkStart w:id="79" w:name="_Toc181907116"/>
      <w:bookmarkStart w:id="80" w:name="_Toc182213521"/>
      <w:r>
        <w:rPr>
          <w:rFonts w:hint="eastAsia"/>
        </w:rPr>
        <w:t>总则</w:t>
      </w:r>
      <w:bookmarkEnd w:id="73"/>
      <w:bookmarkEnd w:id="74"/>
      <w:bookmarkEnd w:id="75"/>
      <w:bookmarkEnd w:id="76"/>
      <w:bookmarkEnd w:id="77"/>
      <w:bookmarkEnd w:id="78"/>
      <w:bookmarkEnd w:id="79"/>
      <w:bookmarkEnd w:id="80"/>
    </w:p>
    <w:p>
      <w:pPr>
        <w:pStyle w:val="65"/>
        <w:ind w:left="0"/>
      </w:pPr>
      <w:bookmarkStart w:id="81" w:name="_Toc180416746"/>
      <w:bookmarkStart w:id="82" w:name="_Toc176447750"/>
      <w:bookmarkStart w:id="83" w:name="_Toc176265080"/>
      <w:bookmarkStart w:id="84" w:name="_Toc32459"/>
      <w:bookmarkStart w:id="85" w:name="_Toc182213522"/>
      <w:r>
        <w:rPr>
          <w:rFonts w:hint="eastAsia"/>
        </w:rPr>
        <w:t>数字基础</w:t>
      </w:r>
      <w:bookmarkEnd w:id="81"/>
      <w:bookmarkEnd w:id="82"/>
      <w:bookmarkEnd w:id="83"/>
      <w:bookmarkEnd w:id="84"/>
      <w:bookmarkEnd w:id="85"/>
    </w:p>
    <w:p>
      <w:pPr>
        <w:pStyle w:val="67"/>
        <w:keepNext w:val="0"/>
        <w:keepLines w:val="0"/>
        <w:pageBreakBefore w:val="0"/>
        <w:widowControl/>
        <w:kinsoku/>
        <w:wordWrap/>
        <w:overflowPunct/>
        <w:topLinePunct w:val="0"/>
        <w:autoSpaceDE w:val="0"/>
        <w:autoSpaceDN w:val="0"/>
        <w:bidi w:val="0"/>
        <w:adjustRightInd/>
        <w:snapToGrid/>
        <w:ind w:firstLine="420"/>
        <w:textAlignment w:val="auto"/>
      </w:pPr>
      <w:bookmarkStart w:id="86" w:name="_Hlk182212156"/>
      <w:r>
        <w:rPr>
          <w:rFonts w:hint="eastAsia"/>
        </w:rPr>
        <w:t>平面坐标系统宜采用“苏州2000坐标系”，高程系统采用“1985国家高程基准”</w:t>
      </w:r>
      <w:bookmarkEnd w:id="86"/>
      <w:r>
        <w:rPr>
          <w:rFonts w:hint="eastAsia"/>
        </w:rPr>
        <w:t>。</w:t>
      </w:r>
    </w:p>
    <w:p>
      <w:pPr>
        <w:pStyle w:val="65"/>
        <w:ind w:left="0"/>
      </w:pPr>
      <w:bookmarkStart w:id="87" w:name="_Toc182213523"/>
      <w:bookmarkStart w:id="88" w:name="_Toc28872"/>
      <w:bookmarkStart w:id="89" w:name="_Hlk182212165"/>
      <w:r>
        <w:rPr>
          <w:rFonts w:hint="eastAsia"/>
        </w:rPr>
        <w:t>地下空间分类</w:t>
      </w:r>
      <w:bookmarkEnd w:id="87"/>
      <w:bookmarkEnd w:id="88"/>
    </w:p>
    <w:bookmarkEnd w:id="89"/>
    <w:p>
      <w:pPr>
        <w:pStyle w:val="68"/>
        <w:rPr>
          <w:rFonts w:hint="eastAsia" w:ascii="宋体" w:hAnsi="Times New Roman" w:eastAsia="宋体" w:cs="Times New Roman"/>
        </w:rPr>
      </w:pPr>
      <w:bookmarkStart w:id="90" w:name="_Hlk182212258"/>
      <w:r>
        <w:rPr>
          <w:rFonts w:hint="eastAsia" w:ascii="宋体" w:hAnsi="Times New Roman" w:eastAsia="宋体" w:cs="Times New Roman"/>
        </w:rPr>
        <w:t>按建设结构划分，可分为单建地下空间和结建地下空间。</w:t>
      </w:r>
    </w:p>
    <w:p>
      <w:pPr>
        <w:pStyle w:val="68"/>
        <w:rPr>
          <w:rFonts w:hint="eastAsia" w:ascii="宋体" w:hAnsi="Times New Roman" w:eastAsia="宋体" w:cs="Times New Roman"/>
        </w:rPr>
      </w:pPr>
      <w:r>
        <w:rPr>
          <w:rFonts w:hint="eastAsia" w:ascii="宋体" w:hAnsi="Times New Roman" w:eastAsia="宋体" w:cs="Times New Roman"/>
        </w:rPr>
        <w:t>按开发用途划分，可分为包含人防工程的地下空间和不包含人防工程的地下空间</w:t>
      </w:r>
      <w:bookmarkEnd w:id="90"/>
      <w:r>
        <w:rPr>
          <w:rFonts w:hint="eastAsia" w:ascii="宋体" w:hAnsi="Times New Roman" w:eastAsia="宋体" w:cs="Times New Roman"/>
        </w:rPr>
        <w:t>。</w:t>
      </w:r>
    </w:p>
    <w:p>
      <w:pPr>
        <w:pStyle w:val="65"/>
        <w:ind w:left="0"/>
      </w:pPr>
      <w:bookmarkStart w:id="91" w:name="_Toc176447752"/>
      <w:bookmarkStart w:id="92" w:name="_Toc6115"/>
      <w:bookmarkStart w:id="93" w:name="_Toc176265082"/>
      <w:bookmarkStart w:id="94" w:name="_Toc182213524"/>
      <w:bookmarkStart w:id="95" w:name="_Toc180416748"/>
      <w:r>
        <w:rPr>
          <w:rFonts w:hint="eastAsia"/>
        </w:rPr>
        <w:t>工作内容</w:t>
      </w:r>
      <w:bookmarkEnd w:id="91"/>
      <w:bookmarkEnd w:id="92"/>
      <w:bookmarkEnd w:id="93"/>
      <w:bookmarkEnd w:id="94"/>
      <w:bookmarkEnd w:id="95"/>
    </w:p>
    <w:p>
      <w:pPr>
        <w:pStyle w:val="68"/>
      </w:pPr>
      <w:r>
        <w:rPr>
          <w:rFonts w:hint="eastAsia"/>
        </w:rPr>
        <w:t>地下空间地籍调查包括地下空间不动产单元划分与设定、不动产单元代码编制、权属调查和地籍测绘。</w:t>
      </w:r>
    </w:p>
    <w:p>
      <w:pPr>
        <w:pStyle w:val="68"/>
      </w:pPr>
      <w:r>
        <w:rPr>
          <w:rFonts w:hint="eastAsia"/>
        </w:rPr>
        <w:t>不动产单元代码编制包含代码结构、编码方法、代码变更。</w:t>
      </w:r>
    </w:p>
    <w:p>
      <w:pPr>
        <w:pStyle w:val="66"/>
        <w:spacing w:before="312" w:after="312"/>
      </w:pPr>
      <w:bookmarkStart w:id="96" w:name="_Toc182213525"/>
      <w:bookmarkStart w:id="97" w:name="_Toc181907117"/>
      <w:bookmarkStart w:id="98" w:name="_Toc180416795"/>
      <w:bookmarkStart w:id="99" w:name="_Toc2765"/>
      <w:bookmarkStart w:id="100" w:name="_Toc181183217"/>
      <w:bookmarkStart w:id="101" w:name="_Toc180416749"/>
      <w:bookmarkStart w:id="102" w:name="_Toc176265083"/>
      <w:bookmarkStart w:id="103" w:name="_Toc176447753"/>
      <w:r>
        <w:rPr>
          <w:rFonts w:hint="eastAsia"/>
        </w:rPr>
        <w:t>地下空间划分</w:t>
      </w:r>
      <w:bookmarkEnd w:id="96"/>
      <w:bookmarkEnd w:id="97"/>
      <w:bookmarkEnd w:id="98"/>
      <w:bookmarkEnd w:id="99"/>
      <w:bookmarkEnd w:id="100"/>
      <w:bookmarkEnd w:id="101"/>
      <w:bookmarkEnd w:id="102"/>
      <w:bookmarkEnd w:id="103"/>
    </w:p>
    <w:p>
      <w:pPr>
        <w:pStyle w:val="65"/>
        <w:ind w:left="0"/>
      </w:pPr>
      <w:bookmarkStart w:id="104" w:name="_Toc176265084"/>
      <w:bookmarkStart w:id="105" w:name="_Toc6922"/>
      <w:bookmarkStart w:id="106" w:name="_Toc180416750"/>
      <w:bookmarkStart w:id="107" w:name="_Toc176447754"/>
      <w:bookmarkStart w:id="108" w:name="_Toc182213526"/>
      <w:r>
        <w:rPr>
          <w:rFonts w:hint="eastAsia"/>
        </w:rPr>
        <w:t>地下空间宗地的划分</w:t>
      </w:r>
      <w:bookmarkEnd w:id="104"/>
      <w:bookmarkEnd w:id="105"/>
      <w:bookmarkEnd w:id="106"/>
      <w:bookmarkEnd w:id="107"/>
      <w:bookmarkEnd w:id="108"/>
    </w:p>
    <w:p>
      <w:pPr>
        <w:pStyle w:val="67"/>
        <w:ind w:firstLine="420"/>
      </w:pPr>
      <w:r>
        <w:rPr>
          <w:rFonts w:hint="eastAsia"/>
        </w:rPr>
        <w:t>地下空间宗地除按GB/T 37346划分外，还应符合下列规定：</w:t>
      </w:r>
    </w:p>
    <w:p>
      <w:pPr>
        <w:pStyle w:val="55"/>
        <w:keepNext w:val="0"/>
        <w:keepLines w:val="0"/>
        <w:pageBreakBefore w:val="0"/>
        <w:widowControl/>
        <w:numPr>
          <w:ilvl w:val="0"/>
          <w:numId w:val="14"/>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依据合法土地权属来源材料或有权部门的批准文件规定设立地下空间宗地；</w:t>
      </w:r>
    </w:p>
    <w:p>
      <w:pPr>
        <w:pStyle w:val="55"/>
        <w:keepNext w:val="0"/>
        <w:keepLines w:val="0"/>
        <w:pageBreakBefore w:val="0"/>
        <w:widowControl/>
        <w:numPr>
          <w:ilvl w:val="0"/>
          <w:numId w:val="14"/>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对可分割项目的单建地下空间，单独设立建设用地使用权（地下）宗地；</w:t>
      </w:r>
    </w:p>
    <w:p>
      <w:pPr>
        <w:pStyle w:val="55"/>
        <w:keepNext w:val="0"/>
        <w:keepLines w:val="0"/>
        <w:pageBreakBefore w:val="0"/>
        <w:widowControl/>
        <w:numPr>
          <w:ilvl w:val="0"/>
          <w:numId w:val="14"/>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对可分割项目的结建地下空间：</w:t>
      </w:r>
    </w:p>
    <w:p>
      <w:pPr>
        <w:pStyle w:val="55"/>
        <w:keepNext w:val="0"/>
        <w:keepLines w:val="0"/>
        <w:pageBreakBefore w:val="0"/>
        <w:widowControl/>
        <w:numPr>
          <w:ilvl w:val="0"/>
          <w:numId w:val="15"/>
        </w:numPr>
        <w:kinsoku/>
        <w:wordWrap/>
        <w:overflowPunct/>
        <w:topLinePunct w:val="0"/>
        <w:autoSpaceDE/>
        <w:autoSpaceDN/>
        <w:bidi w:val="0"/>
        <w:adjustRightInd/>
        <w:snapToGrid/>
        <w:ind w:left="1260" w:leftChars="400" w:hanging="420" w:hangingChars="20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地下空间的权利人与地表宗地的权利人相同，但地下空间完全在地表宗地界线下延的空间范围内，可不单独设立建设用地使用权（地下）宗地；</w:t>
      </w:r>
    </w:p>
    <w:p>
      <w:pPr>
        <w:pStyle w:val="55"/>
        <w:keepNext w:val="0"/>
        <w:keepLines w:val="0"/>
        <w:pageBreakBefore w:val="0"/>
        <w:widowControl/>
        <w:numPr>
          <w:ilvl w:val="0"/>
          <w:numId w:val="15"/>
        </w:numPr>
        <w:kinsoku/>
        <w:wordWrap/>
        <w:overflowPunct/>
        <w:topLinePunct w:val="0"/>
        <w:autoSpaceDE/>
        <w:autoSpaceDN/>
        <w:bidi w:val="0"/>
        <w:adjustRightInd/>
        <w:snapToGrid/>
        <w:ind w:left="1260" w:leftChars="400" w:hanging="420" w:hangingChars="20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地下空间的权利人与地表宗地的权利人相同，但地下空间超出地表宗地界线下延的空间范围，权利人完善土地利用条件后设立建设用地使用权（地下）宗地；</w:t>
      </w:r>
    </w:p>
    <w:p>
      <w:pPr>
        <w:pStyle w:val="55"/>
        <w:keepNext w:val="0"/>
        <w:keepLines w:val="0"/>
        <w:pageBreakBefore w:val="0"/>
        <w:widowControl/>
        <w:numPr>
          <w:ilvl w:val="0"/>
          <w:numId w:val="15"/>
        </w:numPr>
        <w:kinsoku/>
        <w:wordWrap/>
        <w:overflowPunct/>
        <w:topLinePunct w:val="0"/>
        <w:autoSpaceDE/>
        <w:autoSpaceDN/>
        <w:bidi w:val="0"/>
        <w:adjustRightInd/>
        <w:snapToGrid/>
        <w:ind w:left="1260" w:leftChars="400" w:hanging="420" w:hangingChars="20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地下空间与地表宗地分属不同权利人，则地下空间单独设立建设用地使用权（地下）宗地。</w:t>
      </w:r>
    </w:p>
    <w:p>
      <w:pPr>
        <w:pStyle w:val="55"/>
        <w:keepNext w:val="0"/>
        <w:keepLines w:val="0"/>
        <w:pageBreakBefore w:val="0"/>
        <w:widowControl/>
        <w:numPr>
          <w:ilvl w:val="0"/>
          <w:numId w:val="14"/>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对于不可分割项目的地下空间：</w:t>
      </w:r>
    </w:p>
    <w:p>
      <w:pPr>
        <w:pStyle w:val="55"/>
        <w:keepNext w:val="0"/>
        <w:keepLines w:val="0"/>
        <w:pageBreakBefore w:val="0"/>
        <w:widowControl/>
        <w:numPr>
          <w:ilvl w:val="0"/>
          <w:numId w:val="16"/>
        </w:numPr>
        <w:kinsoku/>
        <w:wordWrap/>
        <w:overflowPunct/>
        <w:topLinePunct w:val="0"/>
        <w:autoSpaceDE/>
        <w:autoSpaceDN/>
        <w:bidi w:val="0"/>
        <w:adjustRightInd/>
        <w:snapToGrid/>
        <w:ind w:left="1260" w:leftChars="400" w:hanging="420" w:hangingChars="20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地下空间没有人防工程，可不单独设立地下宗地；</w:t>
      </w:r>
    </w:p>
    <w:p>
      <w:pPr>
        <w:pStyle w:val="55"/>
        <w:keepNext w:val="0"/>
        <w:keepLines w:val="0"/>
        <w:pageBreakBefore w:val="0"/>
        <w:widowControl/>
        <w:numPr>
          <w:ilvl w:val="0"/>
          <w:numId w:val="16"/>
        </w:numPr>
        <w:kinsoku/>
        <w:wordWrap/>
        <w:overflowPunct/>
        <w:topLinePunct w:val="0"/>
        <w:autoSpaceDE/>
        <w:autoSpaceDN/>
        <w:bidi w:val="0"/>
        <w:adjustRightInd/>
        <w:snapToGrid/>
        <w:ind w:left="1260" w:leftChars="400" w:hanging="420" w:hangingChars="20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地下空间有人防工程，可对人防工程设立地下宗地，地下宗地面积对应人防工程建筑面积。</w:t>
      </w:r>
    </w:p>
    <w:p>
      <w:pPr>
        <w:pStyle w:val="55"/>
        <w:keepNext w:val="0"/>
        <w:keepLines w:val="0"/>
        <w:pageBreakBefore w:val="0"/>
        <w:widowControl/>
        <w:numPr>
          <w:ilvl w:val="0"/>
          <w:numId w:val="14"/>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对于分层供地地下空间：</w:t>
      </w:r>
    </w:p>
    <w:p>
      <w:pPr>
        <w:pStyle w:val="55"/>
        <w:keepNext w:val="0"/>
        <w:keepLines w:val="0"/>
        <w:pageBreakBefore w:val="0"/>
        <w:widowControl/>
        <w:numPr>
          <w:ilvl w:val="0"/>
          <w:numId w:val="17"/>
        </w:numPr>
        <w:kinsoku/>
        <w:wordWrap/>
        <w:overflowPunct/>
        <w:topLinePunct w:val="0"/>
        <w:autoSpaceDE/>
        <w:autoSpaceDN/>
        <w:bidi w:val="0"/>
        <w:adjustRightInd/>
        <w:snapToGrid/>
        <w:ind w:left="1260" w:leftChars="400" w:hanging="420" w:hangingChars="20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分别开发，地下空间无交叉的分层供地地下空间，单独设立地下宗地；</w:t>
      </w:r>
    </w:p>
    <w:p>
      <w:pPr>
        <w:pStyle w:val="55"/>
        <w:keepNext w:val="0"/>
        <w:keepLines w:val="0"/>
        <w:pageBreakBefore w:val="0"/>
        <w:widowControl/>
        <w:numPr>
          <w:ilvl w:val="0"/>
          <w:numId w:val="17"/>
        </w:numPr>
        <w:kinsoku/>
        <w:wordWrap/>
        <w:overflowPunct/>
        <w:topLinePunct w:val="0"/>
        <w:autoSpaceDE/>
        <w:autoSpaceDN/>
        <w:bidi w:val="0"/>
        <w:adjustRightInd/>
        <w:snapToGrid/>
        <w:ind w:left="1260" w:leftChars="400" w:hanging="420" w:hangingChars="20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联合开发，地下空间存在交叉的分层供地地下空间，可共同设立建设用地使用权（地下）宗地，按多方建筑面积比例分摊地下宗地面积。</w:t>
      </w:r>
    </w:p>
    <w:p>
      <w:pPr>
        <w:pStyle w:val="65"/>
        <w:ind w:left="0"/>
      </w:pPr>
      <w:bookmarkStart w:id="109" w:name="_Toc176265085"/>
      <w:bookmarkStart w:id="110" w:name="_Toc176447755"/>
      <w:bookmarkStart w:id="111" w:name="_Toc2645"/>
      <w:bookmarkStart w:id="112" w:name="_Toc182213527"/>
      <w:bookmarkStart w:id="113" w:name="_Toc180416751"/>
      <w:r>
        <w:rPr>
          <w:rFonts w:hint="eastAsia"/>
        </w:rPr>
        <w:t>地下空间定着物单元的划分</w:t>
      </w:r>
      <w:bookmarkEnd w:id="109"/>
      <w:bookmarkEnd w:id="110"/>
      <w:bookmarkEnd w:id="111"/>
      <w:bookmarkEnd w:id="112"/>
      <w:bookmarkEnd w:id="113"/>
    </w:p>
    <w:p>
      <w:pPr>
        <w:pStyle w:val="67"/>
        <w:ind w:firstLine="420"/>
      </w:pPr>
      <w:r>
        <w:rPr>
          <w:rFonts w:hint="eastAsia"/>
        </w:rPr>
        <w:t>地下空间定着物主要是固定于土地且功能完整具有独立使用价值的地下建筑物、构筑物，地下空间定着物单元划分规则如下：</w:t>
      </w:r>
    </w:p>
    <w:p>
      <w:pPr>
        <w:pStyle w:val="55"/>
        <w:keepNext w:val="0"/>
        <w:keepLines w:val="0"/>
        <w:pageBreakBefore w:val="0"/>
        <w:widowControl/>
        <w:numPr>
          <w:ilvl w:val="0"/>
          <w:numId w:val="18"/>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一幢定着物（包括该幢车库、车位、储藏室等）归横向相连通的同一个权利人所有的，宜划分为一个定着物单元；</w:t>
      </w:r>
    </w:p>
    <w:p>
      <w:pPr>
        <w:pStyle w:val="55"/>
        <w:keepNext w:val="0"/>
        <w:keepLines w:val="0"/>
        <w:pageBreakBefore w:val="0"/>
        <w:widowControl/>
        <w:numPr>
          <w:ilvl w:val="0"/>
          <w:numId w:val="18"/>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一幢定着物内多层（间）归同一权利人所有的，应按照权属界线固定封闭、功能完整且具有独立使用价值的空间，划分定着物单元，如油库、隧道等构筑物；</w:t>
      </w:r>
    </w:p>
    <w:p>
      <w:pPr>
        <w:pStyle w:val="55"/>
        <w:keepNext w:val="0"/>
        <w:keepLines w:val="0"/>
        <w:pageBreakBefore w:val="0"/>
        <w:widowControl/>
        <w:numPr>
          <w:ilvl w:val="0"/>
          <w:numId w:val="18"/>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同一个或横向相连通的权利人使用的纵向地下定着物，可划分为一个定着物单元；</w:t>
      </w:r>
    </w:p>
    <w:p>
      <w:pPr>
        <w:pStyle w:val="55"/>
        <w:keepNext w:val="0"/>
        <w:keepLines w:val="0"/>
        <w:pageBreakBefore w:val="0"/>
        <w:widowControl/>
        <w:numPr>
          <w:ilvl w:val="0"/>
          <w:numId w:val="18"/>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同一个权利人使用，在横向上仅以通道连通的或者利用状况不同、建筑物结构层数不同的若干建筑物，可分别设置定着物单元；</w:t>
      </w:r>
    </w:p>
    <w:p>
      <w:pPr>
        <w:pStyle w:val="55"/>
        <w:keepNext w:val="0"/>
        <w:keepLines w:val="0"/>
        <w:pageBreakBefore w:val="0"/>
        <w:widowControl/>
        <w:numPr>
          <w:ilvl w:val="0"/>
          <w:numId w:val="18"/>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不同权利人使用的纵向或横向以通道相连通的地下定着物，应分别设置地下宗地和定着物单元。</w:t>
      </w:r>
    </w:p>
    <w:p>
      <w:pPr>
        <w:pStyle w:val="65"/>
        <w:ind w:left="0"/>
      </w:pPr>
      <w:bookmarkStart w:id="114" w:name="_Toc182213528"/>
      <w:bookmarkStart w:id="115" w:name="_Toc2975"/>
      <w:r>
        <w:rPr>
          <w:rFonts w:hint="eastAsia"/>
        </w:rPr>
        <w:t>地下车位不动产单元的划分</w:t>
      </w:r>
      <w:bookmarkEnd w:id="114"/>
      <w:bookmarkEnd w:id="115"/>
    </w:p>
    <w:p>
      <w:pPr>
        <w:pStyle w:val="69"/>
        <w:spacing w:before="156" w:after="156"/>
      </w:pPr>
      <w:bookmarkStart w:id="116" w:name="_Toc19635"/>
      <w:r>
        <w:rPr>
          <w:rFonts w:hint="eastAsia"/>
        </w:rPr>
        <w:t>地下车位宗地的划分</w:t>
      </w:r>
      <w:bookmarkEnd w:id="116"/>
    </w:p>
    <w:p>
      <w:pPr>
        <w:pStyle w:val="80"/>
      </w:pPr>
      <w:r>
        <w:rPr>
          <w:rFonts w:hint="eastAsia"/>
        </w:rPr>
        <w:t>地下车位为依法取得国有建设用地使用权，达到规划、设计、使用要求的，用于停放机动车且能明确划分的地下车位，不包括机械式停车位、人防车位。</w:t>
      </w:r>
    </w:p>
    <w:p>
      <w:pPr>
        <w:pStyle w:val="80"/>
      </w:pPr>
      <w:r>
        <w:rPr>
          <w:rFonts w:hint="eastAsia"/>
        </w:rPr>
        <w:t>结合地下宗地划分的规则，可按照下列规则划分设定地下车位宗地：</w:t>
      </w:r>
    </w:p>
    <w:p>
      <w:pPr>
        <w:pStyle w:val="55"/>
        <w:keepNext w:val="0"/>
        <w:keepLines w:val="0"/>
        <w:pageBreakBefore w:val="0"/>
        <w:widowControl/>
        <w:numPr>
          <w:ilvl w:val="0"/>
          <w:numId w:val="19"/>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依据合法土地权属来源材料或有权部门的批准文件规定设立地下车位宗地；</w:t>
      </w:r>
    </w:p>
    <w:p>
      <w:pPr>
        <w:pStyle w:val="55"/>
        <w:keepNext w:val="0"/>
        <w:keepLines w:val="0"/>
        <w:pageBreakBefore w:val="0"/>
        <w:widowControl/>
        <w:numPr>
          <w:ilvl w:val="0"/>
          <w:numId w:val="19"/>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对于其他土地上单建的地下车位，可单独设立地下宗地；</w:t>
      </w:r>
    </w:p>
    <w:p>
      <w:pPr>
        <w:pStyle w:val="55"/>
        <w:keepNext w:val="0"/>
        <w:keepLines w:val="0"/>
        <w:pageBreakBefore w:val="0"/>
        <w:widowControl/>
        <w:numPr>
          <w:ilvl w:val="0"/>
          <w:numId w:val="19"/>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对于不可分割销售且不可分割转让项目的地下车位，不应单独设立地下宗地。</w:t>
      </w:r>
    </w:p>
    <w:p>
      <w:pPr>
        <w:pStyle w:val="69"/>
        <w:spacing w:before="156" w:after="156"/>
      </w:pPr>
      <w:bookmarkStart w:id="117" w:name="_Toc25422"/>
      <w:r>
        <w:rPr>
          <w:rFonts w:hint="eastAsia"/>
        </w:rPr>
        <w:t>地下车位定着物单元的划分</w:t>
      </w:r>
      <w:bookmarkEnd w:id="117"/>
    </w:p>
    <w:p>
      <w:pPr>
        <w:pStyle w:val="67"/>
        <w:ind w:firstLine="420"/>
      </w:pPr>
      <w:r>
        <w:rPr>
          <w:rFonts w:hint="eastAsia"/>
        </w:rPr>
        <w:t>地下车位定着物主要是地下车位，其单元划分规则如下：</w:t>
      </w:r>
    </w:p>
    <w:p>
      <w:pPr>
        <w:pStyle w:val="55"/>
        <w:keepNext w:val="0"/>
        <w:keepLines w:val="0"/>
        <w:pageBreakBefore w:val="0"/>
        <w:widowControl/>
        <w:numPr>
          <w:ilvl w:val="0"/>
          <w:numId w:val="20"/>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《国有建设用地使用权出让合同》约定整体不可分割销售且不可分割转让的项目，地下车位整体划分为一个定着物单元；</w:t>
      </w:r>
    </w:p>
    <w:p>
      <w:pPr>
        <w:pStyle w:val="55"/>
        <w:keepNext w:val="0"/>
        <w:keepLines w:val="0"/>
        <w:pageBreakBefore w:val="0"/>
        <w:widowControl/>
        <w:numPr>
          <w:ilvl w:val="0"/>
          <w:numId w:val="20"/>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地下车位原则上以“个”划分定着物单元，每个定着物单元与所在国有建设用地设为一个不动产登记单元；</w:t>
      </w:r>
    </w:p>
    <w:p>
      <w:pPr>
        <w:pStyle w:val="55"/>
        <w:keepNext w:val="0"/>
        <w:keepLines w:val="0"/>
        <w:pageBreakBefore w:val="0"/>
        <w:widowControl/>
        <w:numPr>
          <w:ilvl w:val="0"/>
          <w:numId w:val="20"/>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同一权利人的相连成片不可分割转让的地下车位，应划分为一个定着物单元。</w:t>
      </w:r>
    </w:p>
    <w:p>
      <w:pPr>
        <w:pStyle w:val="65"/>
        <w:ind w:left="0"/>
      </w:pPr>
      <w:bookmarkStart w:id="118" w:name="_Toc22500"/>
      <w:bookmarkStart w:id="119" w:name="_Toc176265087"/>
      <w:bookmarkStart w:id="120" w:name="_Toc176447757"/>
      <w:bookmarkStart w:id="121" w:name="_Toc182213529"/>
      <w:bookmarkStart w:id="122" w:name="_Toc180416753"/>
      <w:r>
        <w:rPr>
          <w:rFonts w:hint="eastAsia"/>
        </w:rPr>
        <w:t>轨道交通地下空间不动产单元的划分</w:t>
      </w:r>
      <w:bookmarkEnd w:id="118"/>
      <w:bookmarkEnd w:id="119"/>
      <w:bookmarkEnd w:id="120"/>
      <w:bookmarkEnd w:id="121"/>
      <w:bookmarkEnd w:id="122"/>
    </w:p>
    <w:p>
      <w:pPr>
        <w:pStyle w:val="69"/>
        <w:spacing w:before="156" w:after="156"/>
      </w:pPr>
      <w:bookmarkStart w:id="123" w:name="_Toc16159"/>
      <w:r>
        <w:rPr>
          <w:rFonts w:hint="eastAsia"/>
        </w:rPr>
        <w:t>轨道交通地下空间宗地的划分</w:t>
      </w:r>
      <w:bookmarkEnd w:id="123"/>
    </w:p>
    <w:p>
      <w:pPr>
        <w:pStyle w:val="67"/>
        <w:ind w:firstLine="420"/>
      </w:pPr>
      <w:r>
        <w:rPr>
          <w:rFonts w:hint="eastAsia"/>
        </w:rPr>
        <w:t>应结合地下宗地划分的规则，按照下列规则划分设定轨道交通地下空间宗地：</w:t>
      </w:r>
    </w:p>
    <w:p>
      <w:pPr>
        <w:pStyle w:val="55"/>
        <w:keepNext w:val="0"/>
        <w:keepLines w:val="0"/>
        <w:pageBreakBefore w:val="0"/>
        <w:widowControl/>
        <w:numPr>
          <w:ilvl w:val="0"/>
          <w:numId w:val="21"/>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依据合法土地权属来源材料或有权部门的批准文件规定，轨道交通地下空间宗地可整体设立地下宗地或分段设立地下宗地；</w:t>
      </w:r>
    </w:p>
    <w:p>
      <w:pPr>
        <w:pStyle w:val="55"/>
        <w:keepNext w:val="0"/>
        <w:keepLines w:val="0"/>
        <w:pageBreakBefore w:val="0"/>
        <w:widowControl/>
        <w:numPr>
          <w:ilvl w:val="0"/>
          <w:numId w:val="21"/>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横跨两个以上区县级地级市的线路，轨道交通地下空间宗地可依据批准文件整体设立地下宗地或分行政区设立地下宗地；</w:t>
      </w:r>
    </w:p>
    <w:p>
      <w:pPr>
        <w:pStyle w:val="55"/>
        <w:keepNext w:val="0"/>
        <w:keepLines w:val="0"/>
        <w:pageBreakBefore w:val="0"/>
        <w:widowControl/>
        <w:numPr>
          <w:ilvl w:val="0"/>
          <w:numId w:val="21"/>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对于分段设立的轨道交通地下空间宗地：</w:t>
      </w:r>
    </w:p>
    <w:p>
      <w:pPr>
        <w:pStyle w:val="55"/>
        <w:keepNext w:val="0"/>
        <w:keepLines w:val="0"/>
        <w:pageBreakBefore w:val="0"/>
        <w:widowControl/>
        <w:numPr>
          <w:ilvl w:val="0"/>
          <w:numId w:val="22"/>
        </w:numPr>
        <w:kinsoku/>
        <w:wordWrap/>
        <w:overflowPunct/>
        <w:topLinePunct w:val="0"/>
        <w:autoSpaceDE/>
        <w:autoSpaceDN/>
        <w:bidi w:val="0"/>
        <w:adjustRightInd/>
        <w:snapToGrid/>
        <w:ind w:left="1260" w:leftChars="400" w:hanging="420" w:hangingChars="20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轨道交通地下空间换乘站用地范围宜单独划分一个地下宗地；其包含与轨道交通地下空间紧密关联配套的上下水管线、通讯线、电力线、燃气管线、供热管线等配套设施用地；</w:t>
      </w:r>
    </w:p>
    <w:p>
      <w:pPr>
        <w:pStyle w:val="55"/>
        <w:keepNext w:val="0"/>
        <w:keepLines w:val="0"/>
        <w:pageBreakBefore w:val="0"/>
        <w:widowControl/>
        <w:numPr>
          <w:ilvl w:val="0"/>
          <w:numId w:val="22"/>
        </w:numPr>
        <w:kinsoku/>
        <w:wordWrap/>
        <w:overflowPunct/>
        <w:topLinePunct w:val="0"/>
        <w:autoSpaceDE/>
        <w:autoSpaceDN/>
        <w:bidi w:val="0"/>
        <w:adjustRightInd/>
        <w:snapToGrid/>
        <w:ind w:left="1260" w:leftChars="400" w:hanging="420" w:hangingChars="20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换乘站之间的线路用地范围宜单独划为一个地下宗地；其包含轨道交通地下空间站（换乘站除外）、行车线路与轨道交通地下空间紧密关联配套的上下水管线、通讯线、电力线、燃气管线、供热管线等配套设施用地。</w:t>
      </w:r>
    </w:p>
    <w:p>
      <w:pPr>
        <w:pStyle w:val="55"/>
        <w:keepNext w:val="0"/>
        <w:keepLines w:val="0"/>
        <w:pageBreakBefore w:val="0"/>
        <w:widowControl/>
        <w:numPr>
          <w:ilvl w:val="0"/>
          <w:numId w:val="21"/>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轨道交通地下空间车辆停放、维护的场地单独划分设定一个地下宗地；</w:t>
      </w:r>
    </w:p>
    <w:p>
      <w:pPr>
        <w:pStyle w:val="55"/>
        <w:keepNext w:val="0"/>
        <w:keepLines w:val="0"/>
        <w:pageBreakBefore w:val="0"/>
        <w:widowControl/>
        <w:numPr>
          <w:ilvl w:val="0"/>
          <w:numId w:val="21"/>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轨道交通地下空间出入口、通风口不单独划分设定地表宗地，其建筑物单独设定定着物单元。</w:t>
      </w:r>
    </w:p>
    <w:p>
      <w:pPr>
        <w:pStyle w:val="69"/>
        <w:spacing w:before="156" w:after="156"/>
      </w:pPr>
      <w:bookmarkStart w:id="124" w:name="_Toc12259"/>
      <w:r>
        <w:rPr>
          <w:rFonts w:hint="eastAsia"/>
        </w:rPr>
        <w:t>轨道交通地下空间定着物单元的划分</w:t>
      </w:r>
      <w:bookmarkEnd w:id="124"/>
    </w:p>
    <w:p>
      <w:pPr>
        <w:pStyle w:val="67"/>
        <w:ind w:firstLine="420"/>
      </w:pPr>
      <w:r>
        <w:rPr>
          <w:rFonts w:hint="eastAsia"/>
        </w:rPr>
        <w:t>结合轨道交通地下空间地下宗地划分的规则，可按照下列规则划分设定轨道交通地下空间定着物单元：</w:t>
      </w:r>
    </w:p>
    <w:p>
      <w:pPr>
        <w:pStyle w:val="55"/>
        <w:keepNext w:val="0"/>
        <w:keepLines w:val="0"/>
        <w:pageBreakBefore w:val="0"/>
        <w:widowControl/>
        <w:numPr>
          <w:ilvl w:val="0"/>
          <w:numId w:val="23"/>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地下宗地内相连成片的建筑物设定为一个定着物单元；</w:t>
      </w:r>
    </w:p>
    <w:p>
      <w:pPr>
        <w:pStyle w:val="55"/>
        <w:keepNext w:val="0"/>
        <w:keepLines w:val="0"/>
        <w:pageBreakBefore w:val="0"/>
        <w:widowControl/>
        <w:numPr>
          <w:ilvl w:val="0"/>
          <w:numId w:val="23"/>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一个地下宗地内相连成片的建筑物存在以下情形，可分别划分设定为一个定着物单元：</w:t>
      </w:r>
    </w:p>
    <w:p>
      <w:pPr>
        <w:pStyle w:val="55"/>
        <w:keepNext w:val="0"/>
        <w:keepLines w:val="0"/>
        <w:pageBreakBefore w:val="0"/>
        <w:widowControl/>
        <w:numPr>
          <w:ilvl w:val="0"/>
          <w:numId w:val="24"/>
        </w:numPr>
        <w:kinsoku/>
        <w:wordWrap/>
        <w:overflowPunct/>
        <w:topLinePunct w:val="0"/>
        <w:autoSpaceDE/>
        <w:autoSpaceDN/>
        <w:bidi w:val="0"/>
        <w:adjustRightInd/>
        <w:snapToGrid/>
        <w:ind w:left="1260" w:leftChars="400" w:hanging="420" w:hangingChars="20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相连成片的地下商业体建筑；</w:t>
      </w:r>
    </w:p>
    <w:p>
      <w:pPr>
        <w:pStyle w:val="55"/>
        <w:keepNext w:val="0"/>
        <w:keepLines w:val="0"/>
        <w:pageBreakBefore w:val="0"/>
        <w:widowControl/>
        <w:numPr>
          <w:ilvl w:val="0"/>
          <w:numId w:val="24"/>
        </w:numPr>
        <w:kinsoku/>
        <w:wordWrap/>
        <w:overflowPunct/>
        <w:topLinePunct w:val="0"/>
        <w:autoSpaceDE/>
        <w:autoSpaceDN/>
        <w:bidi w:val="0"/>
        <w:adjustRightInd/>
        <w:snapToGrid/>
        <w:ind w:left="1260" w:leftChars="400" w:hanging="420" w:hangingChars="20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相连成片的地下乘车体建筑；</w:t>
      </w:r>
    </w:p>
    <w:p>
      <w:pPr>
        <w:pStyle w:val="55"/>
        <w:keepNext w:val="0"/>
        <w:keepLines w:val="0"/>
        <w:pageBreakBefore w:val="0"/>
        <w:widowControl/>
        <w:numPr>
          <w:ilvl w:val="0"/>
          <w:numId w:val="24"/>
        </w:numPr>
        <w:kinsoku/>
        <w:wordWrap/>
        <w:overflowPunct/>
        <w:topLinePunct w:val="0"/>
        <w:autoSpaceDE/>
        <w:autoSpaceDN/>
        <w:bidi w:val="0"/>
        <w:adjustRightInd/>
        <w:snapToGrid/>
        <w:ind w:left="1260" w:leftChars="400" w:hanging="420" w:hangingChars="20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盾构区间；</w:t>
      </w:r>
    </w:p>
    <w:p>
      <w:pPr>
        <w:pStyle w:val="55"/>
        <w:keepNext w:val="0"/>
        <w:keepLines w:val="0"/>
        <w:pageBreakBefore w:val="0"/>
        <w:widowControl/>
        <w:numPr>
          <w:ilvl w:val="0"/>
          <w:numId w:val="24"/>
        </w:numPr>
        <w:kinsoku/>
        <w:wordWrap/>
        <w:overflowPunct/>
        <w:topLinePunct w:val="0"/>
        <w:autoSpaceDE/>
        <w:autoSpaceDN/>
        <w:bidi w:val="0"/>
        <w:adjustRightInd/>
        <w:snapToGrid/>
        <w:ind w:left="1260" w:leftChars="400" w:hanging="420" w:hangingChars="20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独立的地下出入口建筑物；</w:t>
      </w:r>
    </w:p>
    <w:p>
      <w:pPr>
        <w:pStyle w:val="55"/>
        <w:keepNext w:val="0"/>
        <w:keepLines w:val="0"/>
        <w:pageBreakBefore w:val="0"/>
        <w:widowControl/>
        <w:numPr>
          <w:ilvl w:val="0"/>
          <w:numId w:val="24"/>
        </w:numPr>
        <w:kinsoku/>
        <w:wordWrap/>
        <w:overflowPunct/>
        <w:topLinePunct w:val="0"/>
        <w:autoSpaceDE/>
        <w:autoSpaceDN/>
        <w:bidi w:val="0"/>
        <w:adjustRightInd/>
        <w:snapToGrid/>
        <w:ind w:left="1260" w:leftChars="400" w:hanging="420" w:hangingChars="20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独立的地下通风口建筑物；</w:t>
      </w:r>
    </w:p>
    <w:p>
      <w:pPr>
        <w:pStyle w:val="55"/>
        <w:keepNext w:val="0"/>
        <w:keepLines w:val="0"/>
        <w:pageBreakBefore w:val="0"/>
        <w:widowControl/>
        <w:numPr>
          <w:ilvl w:val="0"/>
          <w:numId w:val="24"/>
        </w:numPr>
        <w:kinsoku/>
        <w:wordWrap/>
        <w:overflowPunct/>
        <w:topLinePunct w:val="0"/>
        <w:autoSpaceDE/>
        <w:autoSpaceDN/>
        <w:bidi w:val="0"/>
        <w:adjustRightInd/>
        <w:snapToGrid/>
        <w:ind w:left="1260" w:leftChars="400" w:hanging="420" w:hangingChars="20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地下各类管线建筑物体，权利人不同的，应按照建筑物区分所有权的方式划分设定定着物单元。</w:t>
      </w:r>
    </w:p>
    <w:p>
      <w:pPr>
        <w:pStyle w:val="65"/>
        <w:ind w:left="0"/>
      </w:pPr>
      <w:bookmarkStart w:id="125" w:name="_Toc182213530"/>
      <w:bookmarkStart w:id="126" w:name="_Toc18924"/>
      <w:bookmarkStart w:id="127" w:name="_Toc180416754"/>
      <w:bookmarkStart w:id="128" w:name="_Toc176447758"/>
      <w:bookmarkStart w:id="129" w:name="_Toc176265088"/>
      <w:r>
        <w:rPr>
          <w:rFonts w:hint="eastAsia"/>
        </w:rPr>
        <w:t>地下空间不动产单元的设定</w:t>
      </w:r>
      <w:bookmarkEnd w:id="125"/>
      <w:bookmarkEnd w:id="126"/>
      <w:bookmarkEnd w:id="127"/>
      <w:bookmarkEnd w:id="128"/>
      <w:bookmarkEnd w:id="129"/>
    </w:p>
    <w:p>
      <w:pPr>
        <w:pStyle w:val="67"/>
        <w:ind w:firstLine="420"/>
      </w:pPr>
      <w:r>
        <w:rPr>
          <w:rFonts w:hint="eastAsia"/>
        </w:rPr>
        <w:t>根据地下宗地及其定着物的划分方法，按照不动产单元的设定规则，地下空间单元的设定规则如下：</w:t>
      </w:r>
    </w:p>
    <w:p>
      <w:pPr>
        <w:pStyle w:val="55"/>
        <w:keepNext w:val="0"/>
        <w:keepLines w:val="0"/>
        <w:pageBreakBefore w:val="0"/>
        <w:widowControl/>
        <w:numPr>
          <w:ilvl w:val="0"/>
          <w:numId w:val="25"/>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单建的地下定着物单元与所属地下宗地设定为一个地下空间不动产单元；</w:t>
      </w:r>
    </w:p>
    <w:p>
      <w:pPr>
        <w:pStyle w:val="55"/>
        <w:keepNext w:val="0"/>
        <w:keepLines w:val="0"/>
        <w:pageBreakBefore w:val="0"/>
        <w:widowControl/>
        <w:numPr>
          <w:ilvl w:val="0"/>
          <w:numId w:val="25"/>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未设定地下宗地的结建地下定着物单元，地下定着物单元与所属地表宗地设定为一个不动产单元；</w:t>
      </w:r>
    </w:p>
    <w:p>
      <w:pPr>
        <w:pStyle w:val="55"/>
        <w:keepNext w:val="0"/>
        <w:keepLines w:val="0"/>
        <w:pageBreakBefore w:val="0"/>
        <w:widowControl/>
        <w:numPr>
          <w:ilvl w:val="0"/>
          <w:numId w:val="25"/>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设定地下宗地的结建地下定着物单元，地下定着物单元与所属地下宗地设定为一个地下空间不动产单元。</w:t>
      </w:r>
    </w:p>
    <w:p>
      <w:pPr>
        <w:pStyle w:val="66"/>
        <w:spacing w:before="312" w:after="312"/>
      </w:pPr>
      <w:bookmarkStart w:id="130" w:name="_Toc181907118"/>
      <w:bookmarkStart w:id="131" w:name="_Toc180416755"/>
      <w:bookmarkStart w:id="132" w:name="_Toc176265089"/>
      <w:bookmarkStart w:id="133" w:name="_Toc182213531"/>
      <w:bookmarkStart w:id="134" w:name="_Toc176447759"/>
      <w:bookmarkStart w:id="135" w:name="_Toc22471"/>
      <w:bookmarkStart w:id="136" w:name="_Toc180416796"/>
      <w:bookmarkStart w:id="137" w:name="_Toc181183218"/>
      <w:r>
        <w:rPr>
          <w:rFonts w:hint="eastAsia"/>
        </w:rPr>
        <w:t>代码编制</w:t>
      </w:r>
      <w:bookmarkEnd w:id="130"/>
      <w:bookmarkEnd w:id="131"/>
      <w:bookmarkEnd w:id="132"/>
      <w:bookmarkEnd w:id="133"/>
      <w:bookmarkEnd w:id="134"/>
      <w:bookmarkEnd w:id="135"/>
      <w:bookmarkEnd w:id="136"/>
      <w:bookmarkEnd w:id="137"/>
    </w:p>
    <w:p>
      <w:pPr>
        <w:pStyle w:val="65"/>
        <w:ind w:left="0"/>
      </w:pPr>
      <w:bookmarkStart w:id="138" w:name="_Toc180416756"/>
      <w:bookmarkStart w:id="139" w:name="_Toc176447760"/>
      <w:bookmarkStart w:id="140" w:name="_Toc176265090"/>
      <w:bookmarkStart w:id="141" w:name="_Toc182213532"/>
      <w:bookmarkStart w:id="142" w:name="_Toc30595"/>
      <w:r>
        <w:rPr>
          <w:rFonts w:hint="eastAsia"/>
        </w:rPr>
        <w:t>代码结构</w:t>
      </w:r>
      <w:bookmarkEnd w:id="138"/>
      <w:bookmarkEnd w:id="139"/>
      <w:bookmarkEnd w:id="140"/>
      <w:bookmarkEnd w:id="141"/>
      <w:bookmarkEnd w:id="142"/>
    </w:p>
    <w:p>
      <w:pPr>
        <w:pStyle w:val="67"/>
        <w:ind w:firstLine="420"/>
      </w:pPr>
      <w:r>
        <w:rPr>
          <w:rFonts w:hint="eastAsia"/>
        </w:rPr>
        <w:t>地下空间不动产单元代码的基本结构和码长与GB/T 37346的规定保持一致，采用七层28位层次码结构，由宗地代码与定着物单元代码构成。其编制方法如下：</w:t>
      </w:r>
    </w:p>
    <w:p>
      <w:pPr>
        <w:pStyle w:val="55"/>
        <w:keepNext w:val="0"/>
        <w:keepLines w:val="0"/>
        <w:pageBreakBefore w:val="0"/>
        <w:widowControl/>
        <w:numPr>
          <w:ilvl w:val="0"/>
          <w:numId w:val="26"/>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宗地代码为五层19位层次码，按层次分别表示县级行政区划代码、地籍区代码、地籍子区代码、宗地特征码、宗地顺序号。其中宗地特征码和宗地顺序号组成宗地号；</w:t>
      </w:r>
    </w:p>
    <w:p>
      <w:pPr>
        <w:pStyle w:val="55"/>
        <w:keepNext w:val="0"/>
        <w:keepLines w:val="0"/>
        <w:pageBreakBefore w:val="0"/>
        <w:widowControl/>
        <w:numPr>
          <w:ilvl w:val="0"/>
          <w:numId w:val="26"/>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定着物单元代码为二层9位层次码，按层次分别表示定着物特征码、定着物单元号；</w:t>
      </w:r>
    </w:p>
    <w:p>
      <w:pPr>
        <w:pStyle w:val="55"/>
        <w:keepNext w:val="0"/>
        <w:keepLines w:val="0"/>
        <w:pageBreakBefore w:val="0"/>
        <w:widowControl/>
        <w:numPr>
          <w:ilvl w:val="0"/>
          <w:numId w:val="26"/>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地下空间不动产单元代码结构如图1所示。</w:t>
      </w:r>
    </w:p>
    <w:p>
      <w:pPr>
        <w:pStyle w:val="82"/>
        <w:keepNext w:val="0"/>
        <w:keepLines w:val="0"/>
        <w:pageBreakBefore w:val="0"/>
        <w:widowControl/>
        <w:kinsoku/>
        <w:wordWrap/>
        <w:overflowPunct/>
        <w:topLinePunct w:val="0"/>
        <w:autoSpaceDE/>
        <w:autoSpaceDN/>
        <w:bidi w:val="0"/>
        <w:adjustRightInd/>
        <w:snapToGrid/>
        <w:spacing w:before="156" w:after="156"/>
        <w:textAlignment w:val="auto"/>
      </w:pPr>
      <w:r>
        <w:rPr>
          <w:rFonts w:hint="eastAsia"/>
        </w:rPr>
        <w:drawing>
          <wp:anchor distT="0" distB="0" distL="114300" distR="114300" simplePos="0" relativeHeight="251666432" behindDoc="0" locked="0" layoutInCell="1" allowOverlap="1">
            <wp:simplePos x="0" y="0"/>
            <wp:positionH relativeFrom="column">
              <wp:posOffset>1170305</wp:posOffset>
            </wp:positionH>
            <wp:positionV relativeFrom="paragraph">
              <wp:posOffset>118110</wp:posOffset>
            </wp:positionV>
            <wp:extent cx="3902075" cy="2454910"/>
            <wp:effectExtent l="0" t="0" r="14605" b="13970"/>
            <wp:wrapTopAndBottom/>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902075" cy="2454910"/>
                    </a:xfrm>
                    <a:prstGeom prst="rect">
                      <a:avLst/>
                    </a:prstGeom>
                    <a:noFill/>
                    <a:ln>
                      <a:noFill/>
                    </a:ln>
                  </pic:spPr>
                </pic:pic>
              </a:graphicData>
            </a:graphic>
          </wp:anchor>
        </w:drawing>
      </w:r>
      <w:r>
        <w:rPr>
          <w:rFonts w:hint="eastAsia"/>
        </w:rPr>
        <w:t>地下空间不动产单元代码结构图</w:t>
      </w:r>
    </w:p>
    <w:p>
      <w:pPr>
        <w:pStyle w:val="65"/>
        <w:ind w:left="0"/>
      </w:pPr>
      <w:bookmarkStart w:id="143" w:name="_Toc180416757"/>
      <w:bookmarkStart w:id="144" w:name="_Toc182213533"/>
      <w:bookmarkStart w:id="145" w:name="_Toc176265091"/>
      <w:bookmarkStart w:id="146" w:name="_Toc25810"/>
      <w:bookmarkStart w:id="147" w:name="_Toc176447761"/>
      <w:r>
        <w:rPr>
          <w:rFonts w:hint="eastAsia"/>
        </w:rPr>
        <w:t>编码方法</w:t>
      </w:r>
      <w:bookmarkEnd w:id="143"/>
      <w:bookmarkEnd w:id="144"/>
      <w:bookmarkEnd w:id="145"/>
      <w:bookmarkEnd w:id="146"/>
      <w:bookmarkEnd w:id="147"/>
    </w:p>
    <w:p>
      <w:pPr>
        <w:pStyle w:val="67"/>
        <w:ind w:firstLine="420"/>
      </w:pPr>
      <w:r>
        <w:rPr>
          <w:rFonts w:hint="eastAsia"/>
        </w:rPr>
        <w:t>地下空间不动产单元代码采用分层编码，其编制方法如下：</w:t>
      </w:r>
    </w:p>
    <w:p>
      <w:pPr>
        <w:pStyle w:val="55"/>
        <w:keepNext w:val="0"/>
        <w:keepLines w:val="0"/>
        <w:pageBreakBefore w:val="0"/>
        <w:widowControl/>
        <w:numPr>
          <w:ilvl w:val="0"/>
          <w:numId w:val="27"/>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第一层次为县级行政区划，代码为6位，按照GB/T 2260执行。地下宗地跨县级行政区的行政区划代码可采用共同的上一级行政区划代码，即苏州地级市行政区划代码320500；</w:t>
      </w:r>
    </w:p>
    <w:p>
      <w:pPr>
        <w:pStyle w:val="55"/>
        <w:keepNext w:val="0"/>
        <w:keepLines w:val="0"/>
        <w:pageBreakBefore w:val="0"/>
        <w:widowControl/>
        <w:numPr>
          <w:ilvl w:val="0"/>
          <w:numId w:val="27"/>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第二层次为地籍区，代码为3位，用“000—999”表示。线性地物地籍区代码可用“999”表示；</w:t>
      </w:r>
    </w:p>
    <w:p>
      <w:pPr>
        <w:pStyle w:val="55"/>
        <w:keepNext w:val="0"/>
        <w:keepLines w:val="0"/>
        <w:pageBreakBefore w:val="0"/>
        <w:widowControl/>
        <w:numPr>
          <w:ilvl w:val="0"/>
          <w:numId w:val="27"/>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第三层次为地籍子区，代码为3位，用“000—999”表示。线性地物地籍子区代码可用“000” 表示；</w:t>
      </w:r>
    </w:p>
    <w:p>
      <w:pPr>
        <w:pStyle w:val="55"/>
        <w:keepNext w:val="0"/>
        <w:keepLines w:val="0"/>
        <w:pageBreakBefore w:val="0"/>
        <w:widowControl/>
        <w:numPr>
          <w:ilvl w:val="0"/>
          <w:numId w:val="27"/>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第四层次为土地权属类型，代码为2位。其中，第一位表示土地所有权类型，用G、J、Z表示，“G”表示国家土地所有权，“J”表示集体土地所有权，“Z”表示土地所有权争议；第二位表示宗地特征码，用“X”表示建设用地使用权宗地（地下），“W”表示使用权未确定或有争议的土地，“Y”表示其他土地使用权宗地，用于宗地特征扩展；</w:t>
      </w:r>
    </w:p>
    <w:p>
      <w:pPr>
        <w:pStyle w:val="55"/>
        <w:keepNext w:val="0"/>
        <w:keepLines w:val="0"/>
        <w:pageBreakBefore w:val="0"/>
        <w:widowControl/>
        <w:numPr>
          <w:ilvl w:val="0"/>
          <w:numId w:val="27"/>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第五层次为宗地顺序号，代码为5位，用00001～99999表示，在相应的宗地特征码后顺序编码；</w:t>
      </w:r>
    </w:p>
    <w:p>
      <w:pPr>
        <w:pStyle w:val="55"/>
        <w:keepNext w:val="0"/>
        <w:keepLines w:val="0"/>
        <w:pageBreakBefore w:val="0"/>
        <w:widowControl/>
        <w:numPr>
          <w:ilvl w:val="0"/>
          <w:numId w:val="27"/>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第六层次为定着物特征码，码长为1位，应符合GB/T 37346规定编制；</w:t>
      </w:r>
    </w:p>
    <w:p>
      <w:pPr>
        <w:pStyle w:val="55"/>
        <w:keepNext w:val="0"/>
        <w:keepLines w:val="0"/>
        <w:pageBreakBefore w:val="0"/>
        <w:widowControl/>
        <w:numPr>
          <w:ilvl w:val="0"/>
          <w:numId w:val="27"/>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第七层次为地下定着物单元号，码长为8位，具体如下：</w:t>
      </w:r>
    </w:p>
    <w:p>
      <w:pPr>
        <w:pStyle w:val="55"/>
        <w:keepNext w:val="0"/>
        <w:keepLines w:val="0"/>
        <w:pageBreakBefore w:val="0"/>
        <w:widowControl/>
        <w:numPr>
          <w:ilvl w:val="0"/>
          <w:numId w:val="28"/>
        </w:numPr>
        <w:kinsoku/>
        <w:wordWrap/>
        <w:overflowPunct/>
        <w:topLinePunct w:val="0"/>
        <w:autoSpaceDE/>
        <w:autoSpaceDN/>
        <w:bidi w:val="0"/>
        <w:adjustRightInd/>
        <w:snapToGrid/>
        <w:ind w:left="1260" w:leftChars="400" w:hanging="420" w:hangingChars="20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定着物为地下房屋的，定着物单元在使用权宗地内应具有唯一编码；前4位表示幢号，地表宗地范围内的结建地下定着物的幢号采用地表房屋等定着物的幢号；地表宗地范围内的单建地下定着物，在宗地内统一编制幢号，码值为0001～9999。独立设定地下宗地内的定着物单元，在宗地内编制幢号，码值为0001～9999。后4位表示户号，码值为0001～9999；</w:t>
      </w:r>
    </w:p>
    <w:p>
      <w:pPr>
        <w:pStyle w:val="55"/>
        <w:keepNext w:val="0"/>
        <w:keepLines w:val="0"/>
        <w:pageBreakBefore w:val="0"/>
        <w:widowControl/>
        <w:numPr>
          <w:ilvl w:val="0"/>
          <w:numId w:val="28"/>
        </w:numPr>
        <w:kinsoku/>
        <w:wordWrap/>
        <w:overflowPunct/>
        <w:topLinePunct w:val="0"/>
        <w:autoSpaceDE/>
        <w:autoSpaceDN/>
        <w:bidi w:val="0"/>
        <w:adjustRightInd/>
        <w:snapToGrid/>
        <w:ind w:left="1260" w:leftChars="400" w:hanging="420" w:hangingChars="20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其他类型的定着物在使用权宗地内应具有唯一的编号，码值为00000001～99999999。</w:t>
      </w:r>
    </w:p>
    <w:p>
      <w:pPr>
        <w:pStyle w:val="65"/>
        <w:ind w:left="0"/>
      </w:pPr>
      <w:bookmarkStart w:id="148" w:name="_Toc176447762"/>
      <w:bookmarkStart w:id="149" w:name="_Toc182213534"/>
      <w:bookmarkStart w:id="150" w:name="_Toc176265092"/>
      <w:bookmarkStart w:id="151" w:name="_Toc32270"/>
      <w:bookmarkStart w:id="152" w:name="_Toc180416758"/>
      <w:r>
        <w:rPr>
          <w:rFonts w:hint="eastAsia"/>
        </w:rPr>
        <w:t>代码变更</w:t>
      </w:r>
      <w:bookmarkEnd w:id="148"/>
      <w:bookmarkEnd w:id="149"/>
      <w:bookmarkEnd w:id="150"/>
      <w:bookmarkEnd w:id="151"/>
      <w:bookmarkEnd w:id="152"/>
    </w:p>
    <w:p>
      <w:pPr>
        <w:pStyle w:val="67"/>
        <w:ind w:firstLine="420"/>
      </w:pPr>
      <w:r>
        <w:rPr>
          <w:rFonts w:hint="eastAsia"/>
        </w:rPr>
        <w:t>地下空间不动产单元代码变更按照GB/T 37346的规定执行。</w:t>
      </w:r>
    </w:p>
    <w:p>
      <w:pPr>
        <w:pStyle w:val="66"/>
        <w:spacing w:before="312" w:after="312"/>
      </w:pPr>
      <w:bookmarkStart w:id="153" w:name="_Toc180416797"/>
      <w:bookmarkStart w:id="154" w:name="_Toc182213535"/>
      <w:bookmarkStart w:id="155" w:name="_Toc180416759"/>
      <w:bookmarkStart w:id="156" w:name="_Toc181907119"/>
      <w:bookmarkStart w:id="157" w:name="_Toc31436"/>
      <w:bookmarkStart w:id="158" w:name="_Toc176265093"/>
      <w:bookmarkStart w:id="159" w:name="_Toc176447763"/>
      <w:bookmarkStart w:id="160" w:name="_Toc181183219"/>
      <w:r>
        <w:rPr>
          <w:rFonts w:hint="eastAsia"/>
        </w:rPr>
        <w:t>权属调查</w:t>
      </w:r>
      <w:bookmarkEnd w:id="153"/>
      <w:bookmarkEnd w:id="154"/>
      <w:bookmarkEnd w:id="155"/>
      <w:bookmarkEnd w:id="156"/>
      <w:bookmarkEnd w:id="157"/>
      <w:bookmarkEnd w:id="158"/>
      <w:bookmarkEnd w:id="159"/>
      <w:bookmarkEnd w:id="160"/>
    </w:p>
    <w:p>
      <w:pPr>
        <w:pStyle w:val="65"/>
        <w:ind w:left="0"/>
      </w:pPr>
      <w:bookmarkStart w:id="161" w:name="_Toc182213536"/>
      <w:bookmarkStart w:id="162" w:name="_Toc176447764"/>
      <w:bookmarkStart w:id="163" w:name="_Toc10096"/>
      <w:bookmarkStart w:id="164" w:name="_Toc176265094"/>
      <w:bookmarkStart w:id="165" w:name="_Toc180416760"/>
      <w:r>
        <w:rPr>
          <w:rFonts w:hint="eastAsia"/>
        </w:rPr>
        <w:t>一般规定</w:t>
      </w:r>
      <w:bookmarkEnd w:id="161"/>
      <w:bookmarkEnd w:id="162"/>
      <w:bookmarkEnd w:id="163"/>
      <w:bookmarkEnd w:id="164"/>
      <w:bookmarkEnd w:id="165"/>
    </w:p>
    <w:p>
      <w:pPr>
        <w:pStyle w:val="68"/>
      </w:pPr>
      <w:r>
        <w:rPr>
          <w:rFonts w:hint="eastAsia"/>
        </w:rPr>
        <w:t>地下空间调查的单元为不动产单元，包括地下宗地和地下定着物单元。地下空间不动产单元通过地籍调查设定。除下列规定外，设定和代码编制的方法按照GB/T 37346的规定执行。</w:t>
      </w:r>
    </w:p>
    <w:p>
      <w:pPr>
        <w:pStyle w:val="68"/>
      </w:pPr>
      <w:r>
        <w:rPr>
          <w:rFonts w:hint="eastAsia"/>
        </w:rPr>
        <w:t>充分利用已有地籍调查、规划许可、不动产登记、建设或整治项目竣工验收等成果资料，选择已有地籍图、地形图、正射影像图等图件为基础图件制作工作底图，以“权属清楚、界址清晰、面积准确”为目标，采用内业核实与外业调查相结合的方法完成地下空间权属调查。依据地下空间权属调查的成果，开展地籍测绘。</w:t>
      </w:r>
    </w:p>
    <w:p>
      <w:pPr>
        <w:pStyle w:val="68"/>
      </w:pPr>
      <w:r>
        <w:rPr>
          <w:rFonts w:hint="eastAsia"/>
        </w:rPr>
        <w:t>调查形成的地籍材料应符合下列全部要求，可用于自然资源管理和不动产登记：</w:t>
      </w:r>
    </w:p>
    <w:p>
      <w:pPr>
        <w:pStyle w:val="55"/>
        <w:keepNext w:val="0"/>
        <w:keepLines w:val="0"/>
        <w:pageBreakBefore w:val="0"/>
        <w:widowControl/>
        <w:numPr>
          <w:ilvl w:val="0"/>
          <w:numId w:val="29"/>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权利人身份证明材料和权属来源材料齐全，符合政策法规规定；</w:t>
      </w:r>
    </w:p>
    <w:p>
      <w:pPr>
        <w:pStyle w:val="55"/>
        <w:keepNext w:val="0"/>
        <w:keepLines w:val="0"/>
        <w:pageBreakBefore w:val="0"/>
        <w:widowControl/>
        <w:numPr>
          <w:ilvl w:val="0"/>
          <w:numId w:val="29"/>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地籍调查材料齐全，符合本规程要求；</w:t>
      </w:r>
    </w:p>
    <w:p>
      <w:pPr>
        <w:pStyle w:val="55"/>
        <w:keepNext w:val="0"/>
        <w:keepLines w:val="0"/>
        <w:pageBreakBefore w:val="0"/>
        <w:widowControl/>
        <w:numPr>
          <w:ilvl w:val="0"/>
          <w:numId w:val="29"/>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地籍材料中图形信息、属性信息与实地现状之间的时空逻辑关系正确，能够相互印证或校核；</w:t>
      </w:r>
    </w:p>
    <w:p>
      <w:pPr>
        <w:pStyle w:val="55"/>
        <w:keepNext w:val="0"/>
        <w:keepLines w:val="0"/>
        <w:pageBreakBefore w:val="0"/>
        <w:widowControl/>
        <w:numPr>
          <w:ilvl w:val="0"/>
          <w:numId w:val="29"/>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对履行了指界程序的不动产单元，地籍调查材料中的界址标示、说明、签章等内容清楚并与实地一致；</w:t>
      </w:r>
    </w:p>
    <w:p>
      <w:pPr>
        <w:pStyle w:val="55"/>
        <w:keepNext w:val="0"/>
        <w:keepLines w:val="0"/>
        <w:pageBreakBefore w:val="0"/>
        <w:widowControl/>
        <w:numPr>
          <w:ilvl w:val="0"/>
          <w:numId w:val="29"/>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地籍调查材料中的权属要素及其控制点坐标、控制点边长、界址边长、界址点坐标、房屋边长、面积等检核说明完整，其检核结果符合本规程要求；</w:t>
      </w:r>
    </w:p>
    <w:p>
      <w:pPr>
        <w:pStyle w:val="55"/>
        <w:keepNext w:val="0"/>
        <w:keepLines w:val="0"/>
        <w:pageBreakBefore w:val="0"/>
        <w:widowControl/>
        <w:numPr>
          <w:ilvl w:val="0"/>
          <w:numId w:val="29"/>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房屋、构（建）筑物等定着物单元与所属宗地之间的权利关系和空间关系正确；</w:t>
      </w:r>
    </w:p>
    <w:p>
      <w:pPr>
        <w:pStyle w:val="55"/>
        <w:keepNext w:val="0"/>
        <w:keepLines w:val="0"/>
        <w:pageBreakBefore w:val="0"/>
        <w:widowControl/>
        <w:numPr>
          <w:ilvl w:val="0"/>
          <w:numId w:val="29"/>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地籍图、宗地图、房产图等图件上的地籍要素清晰、可读并与实地一致；有界址点坐标及其坐标系统说明。与权属来源材料中的图件可进行有效对比转换；</w:t>
      </w:r>
    </w:p>
    <w:p>
      <w:pPr>
        <w:pStyle w:val="55"/>
        <w:keepNext w:val="0"/>
        <w:keepLines w:val="0"/>
        <w:pageBreakBefore w:val="0"/>
        <w:widowControl/>
        <w:numPr>
          <w:ilvl w:val="0"/>
          <w:numId w:val="29"/>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将地籍调查材料中不动产单元的坐标、边长或图形转换到地籍图上，与相邻的宗地、定着物及其地物、地貌的空间位置关系正确，没有空间矛盾。</w:t>
      </w:r>
    </w:p>
    <w:p>
      <w:pPr>
        <w:pStyle w:val="65"/>
        <w:ind w:left="0"/>
      </w:pPr>
      <w:bookmarkStart w:id="166" w:name="_Toc1120"/>
      <w:bookmarkStart w:id="167" w:name="_Toc182213537"/>
      <w:r>
        <w:rPr>
          <w:rFonts w:hint="eastAsia"/>
        </w:rPr>
        <w:t>基础资料</w:t>
      </w:r>
      <w:bookmarkEnd w:id="166"/>
      <w:bookmarkEnd w:id="167"/>
    </w:p>
    <w:p>
      <w:pPr>
        <w:pStyle w:val="68"/>
      </w:pPr>
      <w:r>
        <w:rPr>
          <w:rFonts w:hint="eastAsia"/>
        </w:rPr>
        <w:t>收集、整理基础资料，包含但不限于：</w:t>
      </w:r>
    </w:p>
    <w:p>
      <w:pPr>
        <w:pStyle w:val="55"/>
        <w:keepNext w:val="0"/>
        <w:keepLines w:val="0"/>
        <w:pageBreakBefore w:val="0"/>
        <w:widowControl/>
        <w:numPr>
          <w:ilvl w:val="0"/>
          <w:numId w:val="30"/>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身份证、户口簿、社会信用代码证等权利人身份证明材料；</w:t>
      </w:r>
    </w:p>
    <w:p>
      <w:pPr>
        <w:pStyle w:val="55"/>
        <w:keepNext w:val="0"/>
        <w:keepLines w:val="0"/>
        <w:pageBreakBefore w:val="0"/>
        <w:widowControl/>
        <w:numPr>
          <w:ilvl w:val="0"/>
          <w:numId w:val="30"/>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历史形成的地下空间产权登记材料；</w:t>
      </w:r>
    </w:p>
    <w:p>
      <w:pPr>
        <w:pStyle w:val="55"/>
        <w:keepNext w:val="0"/>
        <w:keepLines w:val="0"/>
        <w:pageBreakBefore w:val="0"/>
        <w:widowControl/>
        <w:numPr>
          <w:ilvl w:val="0"/>
          <w:numId w:val="30"/>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房屋及其地下定着物的竣工验收资料、普查资料等；</w:t>
      </w:r>
    </w:p>
    <w:p>
      <w:pPr>
        <w:pStyle w:val="55"/>
        <w:keepNext w:val="0"/>
        <w:keepLines w:val="0"/>
        <w:pageBreakBefore w:val="0"/>
        <w:widowControl/>
        <w:numPr>
          <w:ilvl w:val="0"/>
          <w:numId w:val="30"/>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用地规划许可、建筑工程规划许可材料；</w:t>
      </w:r>
    </w:p>
    <w:p>
      <w:pPr>
        <w:pStyle w:val="55"/>
        <w:keepNext w:val="0"/>
        <w:keepLines w:val="0"/>
        <w:pageBreakBefore w:val="0"/>
        <w:widowControl/>
        <w:numPr>
          <w:ilvl w:val="0"/>
          <w:numId w:val="30"/>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履行指界程序形成的调查表、土地勘测定界报告等地籍调查成果。</w:t>
      </w:r>
    </w:p>
    <w:p>
      <w:pPr>
        <w:pStyle w:val="68"/>
      </w:pPr>
      <w:r>
        <w:rPr>
          <w:rFonts w:hint="eastAsia"/>
        </w:rPr>
        <w:t>收集、整理测绘材料。包含竣工图、地形图、控制网点和其他已有图件等。</w:t>
      </w:r>
    </w:p>
    <w:p>
      <w:pPr>
        <w:pStyle w:val="68"/>
      </w:pPr>
      <w:r>
        <w:rPr>
          <w:rFonts w:hint="eastAsia"/>
        </w:rPr>
        <w:t>收集、整理历史上的调查、普查、规划等材料。包含文字报告、图件、数据库等。</w:t>
      </w:r>
    </w:p>
    <w:p>
      <w:pPr>
        <w:pStyle w:val="68"/>
      </w:pPr>
      <w:r>
        <w:rPr>
          <w:rFonts w:hint="eastAsia"/>
        </w:rPr>
        <w:t>其他需要收集的地籍材料，包含但不限于：</w:t>
      </w:r>
    </w:p>
    <w:p>
      <w:pPr>
        <w:pStyle w:val="55"/>
        <w:keepNext w:val="0"/>
        <w:keepLines w:val="0"/>
        <w:pageBreakBefore w:val="0"/>
        <w:widowControl/>
        <w:numPr>
          <w:ilvl w:val="0"/>
          <w:numId w:val="31"/>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表册：包括地籍调查表（地下）、指界委托书、法定代表人（或负责人或实际使用人）身份证明书、指界通知书、违约缺席定界通知书等；</w:t>
      </w:r>
    </w:p>
    <w:p>
      <w:pPr>
        <w:pStyle w:val="55"/>
        <w:keepNext w:val="0"/>
        <w:keepLines w:val="0"/>
        <w:pageBreakBefore w:val="0"/>
        <w:widowControl/>
        <w:numPr>
          <w:ilvl w:val="0"/>
          <w:numId w:val="31"/>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软件：包括全野外数字测量系统、数字摄影测量系统、数据建库和地籍信息系统等软件。</w:t>
      </w:r>
    </w:p>
    <w:p>
      <w:pPr>
        <w:pStyle w:val="65"/>
        <w:ind w:left="0"/>
      </w:pPr>
      <w:bookmarkStart w:id="168" w:name="_Toc176447766"/>
      <w:bookmarkStart w:id="169" w:name="_Toc182213538"/>
      <w:bookmarkStart w:id="170" w:name="_Toc176265096"/>
      <w:bookmarkStart w:id="171" w:name="_Toc8876"/>
      <w:bookmarkStart w:id="172" w:name="_Toc180416762"/>
      <w:r>
        <w:rPr>
          <w:rFonts w:hint="eastAsia"/>
        </w:rPr>
        <w:t>地下宗地调查</w:t>
      </w:r>
      <w:bookmarkEnd w:id="168"/>
      <w:bookmarkEnd w:id="169"/>
      <w:bookmarkEnd w:id="170"/>
      <w:bookmarkEnd w:id="171"/>
      <w:bookmarkEnd w:id="172"/>
    </w:p>
    <w:p>
      <w:pPr>
        <w:pStyle w:val="69"/>
        <w:spacing w:before="156" w:after="156"/>
      </w:pPr>
      <w:bookmarkStart w:id="173" w:name="_Toc20321"/>
      <w:r>
        <w:rPr>
          <w:rFonts w:hint="eastAsia"/>
        </w:rPr>
        <w:t>调查内容</w:t>
      </w:r>
      <w:bookmarkEnd w:id="173"/>
    </w:p>
    <w:p>
      <w:pPr>
        <w:pStyle w:val="80"/>
        <w:rPr>
          <w:rFonts w:hint="eastAsia"/>
        </w:rPr>
      </w:pPr>
      <w:r>
        <w:rPr>
          <w:rFonts w:hint="eastAsia"/>
        </w:rPr>
        <w:t>以地下宗地为单位，对其权属、用途、位置调查和确认的工作。主要内容包括调查权属状况、界址调查和填写地籍调查表</w:t>
      </w:r>
      <w:r>
        <w:rPr>
          <w:rFonts w:hint="eastAsia"/>
          <w:lang w:eastAsia="zh-CN"/>
        </w:rPr>
        <w:t>（</w:t>
      </w:r>
      <w:r>
        <w:rPr>
          <w:rFonts w:hint="eastAsia"/>
          <w:lang w:val="en-US" w:eastAsia="zh-CN"/>
        </w:rPr>
        <w:t>地下</w:t>
      </w:r>
      <w:r>
        <w:rPr>
          <w:rFonts w:hint="eastAsia"/>
          <w:lang w:eastAsia="zh-CN"/>
        </w:rPr>
        <w:t>）</w:t>
      </w:r>
      <w:r>
        <w:rPr>
          <w:rFonts w:hint="eastAsia"/>
        </w:rPr>
        <w:t>（见附录A）等。</w:t>
      </w:r>
    </w:p>
    <w:p>
      <w:pPr>
        <w:pStyle w:val="80"/>
        <w:rPr>
          <w:rFonts w:hint="eastAsia"/>
        </w:rPr>
      </w:pPr>
      <w:r>
        <w:rPr>
          <w:rFonts w:hint="eastAsia"/>
        </w:rPr>
        <w:t>除GB/T 42547规定的调查内容外，地下宗地还应调查以下内容：</w:t>
      </w:r>
    </w:p>
    <w:p>
      <w:pPr>
        <w:pStyle w:val="55"/>
        <w:keepNext w:val="0"/>
        <w:keepLines w:val="0"/>
        <w:pageBreakBefore w:val="0"/>
        <w:widowControl/>
        <w:numPr>
          <w:ilvl w:val="0"/>
          <w:numId w:val="32"/>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权利人状况：包括权利人、开发主体、归口管理单位或部门、单位性质等；</w:t>
      </w:r>
    </w:p>
    <w:p>
      <w:pPr>
        <w:pStyle w:val="55"/>
        <w:keepNext w:val="0"/>
        <w:keepLines w:val="0"/>
        <w:pageBreakBefore w:val="0"/>
        <w:widowControl/>
        <w:numPr>
          <w:ilvl w:val="0"/>
          <w:numId w:val="32"/>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权属来源状况：地下建设用地使用权取得方式及其依据；</w:t>
      </w:r>
    </w:p>
    <w:p>
      <w:pPr>
        <w:pStyle w:val="55"/>
        <w:keepNext w:val="0"/>
        <w:keepLines w:val="0"/>
        <w:pageBreakBefore w:val="0"/>
        <w:widowControl/>
        <w:numPr>
          <w:ilvl w:val="0"/>
          <w:numId w:val="32"/>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批准用途、空间层数、分层面利用等情况；</w:t>
      </w:r>
    </w:p>
    <w:p>
      <w:pPr>
        <w:pStyle w:val="55"/>
        <w:keepNext w:val="0"/>
        <w:keepLines w:val="0"/>
        <w:pageBreakBefore w:val="0"/>
        <w:widowControl/>
        <w:numPr>
          <w:ilvl w:val="0"/>
          <w:numId w:val="32"/>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空间名称、坐落、六至；</w:t>
      </w:r>
    </w:p>
    <w:p>
      <w:pPr>
        <w:pStyle w:val="55"/>
        <w:keepNext w:val="0"/>
        <w:keepLines w:val="0"/>
        <w:pageBreakBefore w:val="0"/>
        <w:widowControl/>
        <w:numPr>
          <w:ilvl w:val="0"/>
          <w:numId w:val="32"/>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出入口数量、坐落、连通情况；</w:t>
      </w:r>
    </w:p>
    <w:p>
      <w:pPr>
        <w:pStyle w:val="55"/>
        <w:keepNext w:val="0"/>
        <w:keepLines w:val="0"/>
        <w:pageBreakBefore w:val="0"/>
        <w:widowControl/>
        <w:numPr>
          <w:ilvl w:val="0"/>
          <w:numId w:val="32"/>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地下空间单、结建情况；</w:t>
      </w:r>
    </w:p>
    <w:p>
      <w:pPr>
        <w:pStyle w:val="55"/>
        <w:keepNext w:val="0"/>
        <w:keepLines w:val="0"/>
        <w:pageBreakBefore w:val="0"/>
        <w:widowControl/>
        <w:numPr>
          <w:ilvl w:val="0"/>
          <w:numId w:val="32"/>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建设年份、使用年份；</w:t>
      </w:r>
    </w:p>
    <w:p>
      <w:pPr>
        <w:pStyle w:val="55"/>
        <w:keepNext w:val="0"/>
        <w:keepLines w:val="0"/>
        <w:pageBreakBefore w:val="0"/>
        <w:widowControl/>
        <w:numPr>
          <w:ilvl w:val="0"/>
          <w:numId w:val="32"/>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空间体积。</w:t>
      </w:r>
    </w:p>
    <w:p>
      <w:pPr>
        <w:pStyle w:val="69"/>
        <w:spacing w:before="156" w:after="156"/>
      </w:pPr>
      <w:bookmarkStart w:id="174" w:name="_Toc32167"/>
      <w:r>
        <w:rPr>
          <w:rFonts w:hint="eastAsia"/>
        </w:rPr>
        <w:t>调查方法</w:t>
      </w:r>
      <w:bookmarkEnd w:id="174"/>
    </w:p>
    <w:p>
      <w:pPr>
        <w:pStyle w:val="80"/>
      </w:pPr>
      <w:r>
        <w:rPr>
          <w:rFonts w:hint="eastAsia"/>
        </w:rPr>
        <w:t>应充分利用收集的资料，采用内业核实和外业调查相结合的方法调查地下宗地权属状况，并填写地籍调查表</w:t>
      </w:r>
      <w:r>
        <w:rPr>
          <w:rFonts w:hint="eastAsia"/>
          <w:lang w:eastAsia="zh-CN"/>
        </w:rPr>
        <w:t>（</w:t>
      </w:r>
      <w:r>
        <w:rPr>
          <w:rFonts w:hint="eastAsia"/>
          <w:lang w:val="en-US" w:eastAsia="zh-CN"/>
        </w:rPr>
        <w:t>地下</w:t>
      </w:r>
      <w:r>
        <w:rPr>
          <w:rFonts w:hint="eastAsia"/>
          <w:lang w:eastAsia="zh-CN"/>
        </w:rPr>
        <w:t>）</w:t>
      </w:r>
      <w:r>
        <w:rPr>
          <w:rFonts w:hint="eastAsia"/>
        </w:rPr>
        <w:t>（见附录A）。</w:t>
      </w:r>
    </w:p>
    <w:p>
      <w:pPr>
        <w:pStyle w:val="80"/>
      </w:pPr>
      <w:r>
        <w:rPr>
          <w:rFonts w:hint="eastAsia"/>
        </w:rPr>
        <w:t>核实查清用地六至和坐落，核实查清用地六至的相邻权利人或实际使用人名称等。在核实调查土地权利人、权属性质及来源、位置、用途等权属状况时，如与实际情况一致的，按照已有资料填写地籍调查表。如无权属来源资料或资料缺失、不完整，以及权属状况与实际情况不一致的，按照实际调查情况填写地籍调查表，在其说明栏目中填写情况说明，并附由权利人提供的相关证明材料的复印件。不一致的情形包括：</w:t>
      </w:r>
    </w:p>
    <w:p>
      <w:pPr>
        <w:pStyle w:val="55"/>
        <w:keepNext w:val="0"/>
        <w:keepLines w:val="0"/>
        <w:pageBreakBefore w:val="0"/>
        <w:widowControl/>
        <w:numPr>
          <w:ilvl w:val="0"/>
          <w:numId w:val="33"/>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权利人的信息不一致或存在错误的；</w:t>
      </w:r>
    </w:p>
    <w:p>
      <w:pPr>
        <w:pStyle w:val="55"/>
        <w:keepNext w:val="0"/>
        <w:keepLines w:val="0"/>
        <w:pageBreakBefore w:val="0"/>
        <w:widowControl/>
        <w:numPr>
          <w:ilvl w:val="0"/>
          <w:numId w:val="33"/>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权属来源和性质存在错误的；</w:t>
      </w:r>
    </w:p>
    <w:p>
      <w:pPr>
        <w:pStyle w:val="55"/>
        <w:keepNext w:val="0"/>
        <w:keepLines w:val="0"/>
        <w:pageBreakBefore w:val="0"/>
        <w:widowControl/>
        <w:numPr>
          <w:ilvl w:val="0"/>
          <w:numId w:val="33"/>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行政区划发生变化的；</w:t>
      </w:r>
    </w:p>
    <w:p>
      <w:pPr>
        <w:pStyle w:val="55"/>
        <w:keepNext w:val="0"/>
        <w:keepLines w:val="0"/>
        <w:pageBreakBefore w:val="0"/>
        <w:widowControl/>
        <w:numPr>
          <w:ilvl w:val="0"/>
          <w:numId w:val="33"/>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土地坐落发生变化的；</w:t>
      </w:r>
    </w:p>
    <w:p>
      <w:pPr>
        <w:pStyle w:val="55"/>
        <w:keepNext w:val="0"/>
        <w:keepLines w:val="0"/>
        <w:pageBreakBefore w:val="0"/>
        <w:widowControl/>
        <w:numPr>
          <w:ilvl w:val="0"/>
          <w:numId w:val="33"/>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其它。</w:t>
      </w:r>
    </w:p>
    <w:p>
      <w:pPr>
        <w:pStyle w:val="69"/>
        <w:spacing w:before="156" w:after="156"/>
      </w:pPr>
      <w:bookmarkStart w:id="175" w:name="_Toc13333"/>
      <w:r>
        <w:rPr>
          <w:rFonts w:hint="eastAsia"/>
        </w:rPr>
        <w:t>界址调查</w:t>
      </w:r>
      <w:bookmarkEnd w:id="175"/>
    </w:p>
    <w:p>
      <w:pPr>
        <w:pStyle w:val="80"/>
      </w:pPr>
      <w:r>
        <w:rPr>
          <w:rFonts w:hint="eastAsia"/>
        </w:rPr>
        <w:t>地下宗地界址调查包括指界、界址设置等工作，包含但不限于：</w:t>
      </w:r>
    </w:p>
    <w:p>
      <w:pPr>
        <w:pStyle w:val="55"/>
        <w:keepNext w:val="0"/>
        <w:keepLines w:val="0"/>
        <w:pageBreakBefore w:val="0"/>
        <w:widowControl/>
        <w:numPr>
          <w:ilvl w:val="0"/>
          <w:numId w:val="34"/>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指界：指界人、指界方法及其相关指界规定按照GB/T 42547执行；</w:t>
      </w:r>
    </w:p>
    <w:p>
      <w:pPr>
        <w:pStyle w:val="55"/>
        <w:keepNext w:val="0"/>
        <w:keepLines w:val="0"/>
        <w:pageBreakBefore w:val="0"/>
        <w:widowControl/>
        <w:numPr>
          <w:ilvl w:val="0"/>
          <w:numId w:val="34"/>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地下宗地界址包括界址点、界址线和界址面。界址的设置方法如下：</w:t>
      </w:r>
    </w:p>
    <w:p>
      <w:pPr>
        <w:pStyle w:val="55"/>
        <w:keepNext w:val="0"/>
        <w:keepLines w:val="0"/>
        <w:pageBreakBefore w:val="0"/>
        <w:widowControl/>
        <w:numPr>
          <w:ilvl w:val="0"/>
          <w:numId w:val="35"/>
        </w:numPr>
        <w:kinsoku/>
        <w:wordWrap/>
        <w:overflowPunct/>
        <w:topLinePunct w:val="0"/>
        <w:autoSpaceDE/>
        <w:autoSpaceDN/>
        <w:bidi w:val="0"/>
        <w:adjustRightInd/>
        <w:snapToGrid/>
        <w:ind w:left="1260" w:leftChars="400" w:hanging="420" w:hangingChars="20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平面范围：以地下定着物实际所及的范围为准，即地下分层空间的水平投影范围取并集；其范围包含基本结构部分，如地面、顶面和四周的混凝泥土结构，但不含地下桩基穿过混泥土底层部分；</w:t>
      </w:r>
    </w:p>
    <w:p>
      <w:pPr>
        <w:pStyle w:val="55"/>
        <w:keepNext w:val="0"/>
        <w:keepLines w:val="0"/>
        <w:pageBreakBefore w:val="0"/>
        <w:widowControl/>
        <w:numPr>
          <w:ilvl w:val="0"/>
          <w:numId w:val="35"/>
        </w:numPr>
        <w:kinsoku/>
        <w:wordWrap/>
        <w:overflowPunct/>
        <w:topLinePunct w:val="0"/>
        <w:autoSpaceDE/>
        <w:autoSpaceDN/>
        <w:bidi w:val="0"/>
        <w:adjustRightInd/>
        <w:snapToGrid/>
        <w:ind w:left="1260" w:leftChars="400" w:hanging="420" w:hangingChars="200"/>
        <w:textAlignment w:val="auto"/>
        <w:outlineLvl w:val="9"/>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竖向范围：以地下定着物绝对下底面高程为准（不含地下桩基穿过混泥土底层部分）。</w:t>
      </w:r>
    </w:p>
    <w:p>
      <w:pPr>
        <w:pStyle w:val="80"/>
      </w:pPr>
      <w:r>
        <w:rPr>
          <w:rFonts w:hint="eastAsia"/>
        </w:rPr>
        <w:t>可按照下列规定编制界址点号，包含但不限于：</w:t>
      </w:r>
    </w:p>
    <w:p>
      <w:pPr>
        <w:pStyle w:val="55"/>
        <w:keepNext w:val="0"/>
        <w:keepLines w:val="0"/>
        <w:pageBreakBefore w:val="0"/>
        <w:widowControl/>
        <w:numPr>
          <w:ilvl w:val="0"/>
          <w:numId w:val="36"/>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在宗地调查表中的界址点号，可在地籍区或地籍子区范围内统一编制，也可以宗地为单位，从左上角按顺时针方向，从“1”开始编制；</w:t>
      </w:r>
    </w:p>
    <w:p>
      <w:pPr>
        <w:pStyle w:val="55"/>
        <w:keepNext w:val="0"/>
        <w:keepLines w:val="0"/>
        <w:pageBreakBefore w:val="0"/>
        <w:widowControl/>
        <w:numPr>
          <w:ilvl w:val="0"/>
          <w:numId w:val="36"/>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在地籍数据库中，土地权属界址点号应在地籍区或地籍子区范围统一编制，并保证点号唯一；地籍图上标注的界址点号应与地籍数据库中界址点号相同；</w:t>
      </w:r>
    </w:p>
    <w:p>
      <w:pPr>
        <w:pStyle w:val="55"/>
        <w:keepNext w:val="0"/>
        <w:keepLines w:val="0"/>
        <w:pageBreakBefore w:val="0"/>
        <w:widowControl/>
        <w:numPr>
          <w:ilvl w:val="0"/>
          <w:numId w:val="36"/>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解析界址点号可采用J1、J2…表示，图解界址点号可采用T1、T2…表示；</w:t>
      </w:r>
    </w:p>
    <w:p>
      <w:pPr>
        <w:pStyle w:val="55"/>
        <w:keepNext w:val="0"/>
        <w:keepLines w:val="0"/>
        <w:pageBreakBefore w:val="0"/>
        <w:widowControl/>
        <w:numPr>
          <w:ilvl w:val="0"/>
          <w:numId w:val="36"/>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界址变更后，新增界址点号在最大界址点号后续编，废弃的界址点号不再使用。</w:t>
      </w:r>
    </w:p>
    <w:p>
      <w:pPr>
        <w:pStyle w:val="65"/>
        <w:ind w:left="0"/>
      </w:pPr>
      <w:bookmarkStart w:id="176" w:name="_Toc176265097"/>
      <w:bookmarkStart w:id="177" w:name="_Toc180416763"/>
      <w:bookmarkStart w:id="178" w:name="_Toc29112"/>
      <w:bookmarkStart w:id="179" w:name="_Toc182213539"/>
      <w:bookmarkStart w:id="180" w:name="_Toc176447767"/>
      <w:r>
        <w:rPr>
          <w:rFonts w:hint="eastAsia"/>
        </w:rPr>
        <w:t>地下定着物调查</w:t>
      </w:r>
      <w:bookmarkEnd w:id="176"/>
      <w:bookmarkEnd w:id="177"/>
      <w:bookmarkEnd w:id="178"/>
      <w:bookmarkEnd w:id="179"/>
      <w:bookmarkEnd w:id="180"/>
    </w:p>
    <w:p>
      <w:pPr>
        <w:pStyle w:val="69"/>
        <w:spacing w:before="156" w:after="156"/>
      </w:pPr>
      <w:bookmarkStart w:id="181" w:name="_Toc26619"/>
      <w:r>
        <w:rPr>
          <w:rFonts w:hint="eastAsia"/>
        </w:rPr>
        <w:t>调查内容</w:t>
      </w:r>
      <w:bookmarkEnd w:id="181"/>
    </w:p>
    <w:p>
      <w:pPr>
        <w:pStyle w:val="67"/>
        <w:ind w:firstLine="420"/>
      </w:pPr>
      <w:r>
        <w:rPr>
          <w:rFonts w:hint="eastAsia"/>
        </w:rPr>
        <w:t>调查单元为地下定着物单元，主要工作内容包括调查权属状况、界线调查和填写定着物调查表（见附录B）等。</w:t>
      </w:r>
    </w:p>
    <w:p>
      <w:pPr>
        <w:pStyle w:val="69"/>
        <w:spacing w:before="156" w:after="156"/>
      </w:pPr>
      <w:bookmarkStart w:id="182" w:name="_Toc16861"/>
      <w:r>
        <w:rPr>
          <w:rFonts w:hint="eastAsia"/>
        </w:rPr>
        <w:t>权属状况调查</w:t>
      </w:r>
      <w:bookmarkEnd w:id="182"/>
    </w:p>
    <w:p>
      <w:pPr>
        <w:pStyle w:val="67"/>
        <w:ind w:firstLine="420"/>
      </w:pPr>
      <w:r>
        <w:rPr>
          <w:rFonts w:hint="eastAsia"/>
        </w:rPr>
        <w:t>调查内容包括地下定着物的所有权人或实际使用人、类型、规划用途、建筑面积、竣工时间、共有情况等。根据收集的材料，按照下列规定调查核实地下空间定着物的权属状况，并填写定着物调查表：</w:t>
      </w:r>
    </w:p>
    <w:p>
      <w:pPr>
        <w:pStyle w:val="55"/>
        <w:keepNext w:val="0"/>
        <w:keepLines w:val="0"/>
        <w:pageBreakBefore w:val="0"/>
        <w:widowControl/>
        <w:numPr>
          <w:ilvl w:val="0"/>
          <w:numId w:val="37"/>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所有权人或实际使用人：有权属来源材料的，调查核实地下定着物权利人的姓名或名称、单位性质、行业代码、社会信用代码、法定代表人（或负责人）姓名及其身份证明、代理人姓名及其身份证明等。无权属来源材料的，应收集实际使用人、法定代表人、代理人的身份证明复印件，查清实际占有或占用地下定着物的现状和历史沿革，并在调查表的说明栏依时间节点进行详细说明；</w:t>
      </w:r>
    </w:p>
    <w:p>
      <w:pPr>
        <w:pStyle w:val="55"/>
        <w:keepNext w:val="0"/>
        <w:keepLines w:val="0"/>
        <w:pageBreakBefore w:val="0"/>
        <w:widowControl/>
        <w:numPr>
          <w:ilvl w:val="0"/>
          <w:numId w:val="37"/>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权利人或实际使用人类型：权利人或实际使用人的类型有5种，即个人、企业、事业单位、国家机关和其他；</w:t>
      </w:r>
    </w:p>
    <w:p>
      <w:pPr>
        <w:pStyle w:val="55"/>
        <w:keepNext w:val="0"/>
        <w:keepLines w:val="0"/>
        <w:pageBreakBefore w:val="0"/>
        <w:widowControl/>
        <w:numPr>
          <w:ilvl w:val="0"/>
          <w:numId w:val="37"/>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坐落：调查核实地下定着物的地理位置；</w:t>
      </w:r>
    </w:p>
    <w:p>
      <w:pPr>
        <w:pStyle w:val="55"/>
        <w:keepNext w:val="0"/>
        <w:keepLines w:val="0"/>
        <w:pageBreakBefore w:val="0"/>
        <w:widowControl/>
        <w:numPr>
          <w:ilvl w:val="0"/>
          <w:numId w:val="37"/>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类型：调查地下定着物的类型；</w:t>
      </w:r>
    </w:p>
    <w:p>
      <w:pPr>
        <w:pStyle w:val="55"/>
        <w:keepNext w:val="0"/>
        <w:keepLines w:val="0"/>
        <w:pageBreakBefore w:val="0"/>
        <w:widowControl/>
        <w:numPr>
          <w:ilvl w:val="0"/>
          <w:numId w:val="37"/>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规划用途：根据地下定着物规划许可文件及其所附图件上确定的用途。如无权属来源材料，则按照现状调查地下定着物实际用途；</w:t>
      </w:r>
    </w:p>
    <w:p>
      <w:pPr>
        <w:pStyle w:val="55"/>
        <w:keepNext w:val="0"/>
        <w:keepLines w:val="0"/>
        <w:pageBreakBefore w:val="0"/>
        <w:widowControl/>
        <w:numPr>
          <w:ilvl w:val="0"/>
          <w:numId w:val="37"/>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建筑面积：地下定着物的建筑面积；</w:t>
      </w:r>
    </w:p>
    <w:p>
      <w:pPr>
        <w:pStyle w:val="55"/>
        <w:keepNext w:val="0"/>
        <w:keepLines w:val="0"/>
        <w:pageBreakBefore w:val="0"/>
        <w:widowControl/>
        <w:numPr>
          <w:ilvl w:val="0"/>
          <w:numId w:val="37"/>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竣工时间：是指权属来源材料中（含地下构（建）筑物竣工验收文件）确定的竣工时间。如无权属来源材料，则采用询问的方式调查地下定着物的竣工时间，并在调查表的备注栏说明询问对象的姓名和身份；</w:t>
      </w:r>
    </w:p>
    <w:p>
      <w:pPr>
        <w:pStyle w:val="55"/>
        <w:keepNext w:val="0"/>
        <w:keepLines w:val="0"/>
        <w:pageBreakBefore w:val="0"/>
        <w:widowControl/>
        <w:numPr>
          <w:ilvl w:val="0"/>
          <w:numId w:val="37"/>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共有情况：调查核实地下定着物的共有情况，确认是按份共有还是共同共有。属于按份共有的，则需要查清共有部位和每份的份额。</w:t>
      </w:r>
    </w:p>
    <w:p>
      <w:pPr>
        <w:pStyle w:val="69"/>
        <w:spacing w:before="156" w:after="156"/>
      </w:pPr>
      <w:bookmarkStart w:id="183" w:name="_Toc24490"/>
      <w:r>
        <w:rPr>
          <w:rFonts w:hint="eastAsia"/>
        </w:rPr>
        <w:t>界线调查</w:t>
      </w:r>
      <w:bookmarkEnd w:id="183"/>
    </w:p>
    <w:p>
      <w:pPr>
        <w:pStyle w:val="80"/>
      </w:pPr>
      <w:r>
        <w:rPr>
          <w:rFonts w:hint="eastAsia"/>
        </w:rPr>
        <w:t>宜根据合法土地权属来源材料或者有权部门的批准文件，查清认定地下定着物单元的界线范围，并将调查结果标绘在工作底图上。</w:t>
      </w:r>
    </w:p>
    <w:p>
      <w:pPr>
        <w:pStyle w:val="80"/>
      </w:pPr>
      <w:r>
        <w:rPr>
          <w:rFonts w:hint="eastAsia"/>
        </w:rPr>
        <w:t>应丈量地下定着物单元的边长，并标绘在工作底图上，无法丈量的可在地下空间竣工图上读取标注的边长或图解边长，并标绘在工作底图上。</w:t>
      </w:r>
    </w:p>
    <w:p>
      <w:pPr>
        <w:pStyle w:val="65"/>
        <w:ind w:left="0"/>
      </w:pPr>
      <w:bookmarkStart w:id="184" w:name="_Toc180416764"/>
      <w:bookmarkStart w:id="185" w:name="_Toc182213540"/>
      <w:bookmarkStart w:id="186" w:name="_Toc8089"/>
      <w:bookmarkStart w:id="187" w:name="_Toc176265098"/>
      <w:bookmarkStart w:id="188" w:name="_Toc176447768"/>
      <w:r>
        <w:rPr>
          <w:rFonts w:hint="eastAsia"/>
        </w:rPr>
        <w:t>产权草图绘制</w:t>
      </w:r>
      <w:bookmarkEnd w:id="184"/>
      <w:bookmarkEnd w:id="185"/>
      <w:bookmarkEnd w:id="186"/>
      <w:bookmarkEnd w:id="187"/>
      <w:bookmarkEnd w:id="188"/>
    </w:p>
    <w:p>
      <w:pPr>
        <w:pStyle w:val="68"/>
      </w:pPr>
      <w:r>
        <w:rPr>
          <w:rFonts w:hint="eastAsia"/>
        </w:rPr>
        <w:t>依据权属来源材料绘制建设用地使用权（地下）宗地草图，包括本宗地号、坐落、界址点、界址点号、界址线、宗地内主要地物、邻近明显地物等。</w:t>
      </w:r>
    </w:p>
    <w:p>
      <w:pPr>
        <w:pStyle w:val="68"/>
      </w:pPr>
      <w:r>
        <w:rPr>
          <w:rFonts w:hint="eastAsia"/>
        </w:rPr>
        <w:t>以地下定着物单元为单位绘制产权草图。草图上的内容包括幢号、幢名称、总地下层数、所在层数、权属界线、共有部位及其名称、墙体归属、边长等。</w:t>
      </w:r>
    </w:p>
    <w:p>
      <w:pPr>
        <w:pStyle w:val="68"/>
      </w:pPr>
      <w:r>
        <w:rPr>
          <w:rFonts w:hint="eastAsia"/>
        </w:rPr>
        <w:t>应根据建设工程规划设计图、施工图、竣工图绘制产权草图。当无法获得建设工程规划设计图、施工图、竣工图时，应在现场绘制草图。</w:t>
      </w:r>
    </w:p>
    <w:p>
      <w:pPr>
        <w:pStyle w:val="65"/>
        <w:ind w:left="0"/>
      </w:pPr>
      <w:bookmarkStart w:id="189" w:name="_Toc176265099"/>
      <w:bookmarkStart w:id="190" w:name="_Toc184"/>
      <w:bookmarkStart w:id="191" w:name="_Toc182213541"/>
      <w:bookmarkStart w:id="192" w:name="_Toc176447769"/>
      <w:bookmarkStart w:id="193" w:name="_Toc180416765"/>
      <w:r>
        <w:rPr>
          <w:rFonts w:hint="eastAsia"/>
        </w:rPr>
        <w:t>地籍测绘</w:t>
      </w:r>
      <w:bookmarkEnd w:id="189"/>
      <w:bookmarkEnd w:id="190"/>
      <w:bookmarkEnd w:id="191"/>
      <w:bookmarkEnd w:id="192"/>
      <w:bookmarkEnd w:id="193"/>
    </w:p>
    <w:p>
      <w:pPr>
        <w:pStyle w:val="67"/>
        <w:ind w:firstLine="420"/>
      </w:pPr>
      <w:r>
        <w:rPr>
          <w:rFonts w:hint="eastAsia"/>
        </w:rPr>
        <w:t>地下空间地籍测绘的基本要求按照GB/T 35636的规定执行。</w:t>
      </w:r>
    </w:p>
    <w:p>
      <w:pPr>
        <w:pStyle w:val="66"/>
        <w:spacing w:before="312" w:after="312"/>
      </w:pPr>
      <w:bookmarkStart w:id="194" w:name="_Toc181907120"/>
      <w:bookmarkStart w:id="195" w:name="_Toc29639"/>
      <w:bookmarkStart w:id="196" w:name="_Toc182213542"/>
      <w:bookmarkStart w:id="197" w:name="_Toc180416798"/>
      <w:bookmarkStart w:id="198" w:name="_Toc180416766"/>
      <w:bookmarkStart w:id="199" w:name="_Toc176265100"/>
      <w:bookmarkStart w:id="200" w:name="_Toc176447770"/>
      <w:bookmarkStart w:id="201" w:name="_Toc181183220"/>
      <w:r>
        <w:rPr>
          <w:rFonts w:hint="eastAsia"/>
        </w:rPr>
        <w:t>调查数据成果处理</w:t>
      </w:r>
      <w:bookmarkEnd w:id="194"/>
      <w:bookmarkEnd w:id="195"/>
      <w:bookmarkEnd w:id="196"/>
      <w:bookmarkEnd w:id="197"/>
      <w:bookmarkEnd w:id="198"/>
      <w:bookmarkEnd w:id="199"/>
      <w:bookmarkEnd w:id="200"/>
      <w:bookmarkEnd w:id="201"/>
    </w:p>
    <w:p>
      <w:pPr>
        <w:pStyle w:val="65"/>
        <w:ind w:left="0"/>
      </w:pPr>
      <w:bookmarkStart w:id="202" w:name="_Toc11211"/>
      <w:bookmarkStart w:id="203" w:name="_Toc180416767"/>
      <w:bookmarkStart w:id="204" w:name="_Toc176265101"/>
      <w:bookmarkStart w:id="205" w:name="_Toc176447771"/>
      <w:bookmarkStart w:id="206" w:name="_Toc182213543"/>
      <w:r>
        <w:rPr>
          <w:rFonts w:hint="eastAsia"/>
        </w:rPr>
        <w:t>调查表填写</w:t>
      </w:r>
      <w:bookmarkEnd w:id="202"/>
      <w:bookmarkEnd w:id="203"/>
      <w:bookmarkEnd w:id="204"/>
      <w:bookmarkEnd w:id="205"/>
      <w:bookmarkEnd w:id="206"/>
    </w:p>
    <w:p>
      <w:pPr>
        <w:pStyle w:val="67"/>
        <w:ind w:firstLine="420"/>
      </w:pPr>
      <w:r>
        <w:rPr>
          <w:rFonts w:hint="eastAsia"/>
        </w:rPr>
        <w:t>除按照GB/T 42547的规定填写地籍调查表外，还要填写地籍调查表（地下），其样式及其填写要求见附录A。</w:t>
      </w:r>
    </w:p>
    <w:p>
      <w:pPr>
        <w:pStyle w:val="65"/>
        <w:ind w:left="0"/>
      </w:pPr>
      <w:bookmarkStart w:id="207" w:name="_Toc180416768"/>
      <w:bookmarkStart w:id="208" w:name="_Toc176447772"/>
      <w:bookmarkStart w:id="209" w:name="_Toc182213544"/>
      <w:bookmarkStart w:id="210" w:name="_Toc4827"/>
      <w:bookmarkStart w:id="211" w:name="_Toc176265102"/>
      <w:r>
        <w:rPr>
          <w:rFonts w:hint="eastAsia"/>
        </w:rPr>
        <w:t>地籍图编制</w:t>
      </w:r>
      <w:bookmarkEnd w:id="207"/>
      <w:bookmarkEnd w:id="208"/>
      <w:bookmarkEnd w:id="209"/>
      <w:bookmarkEnd w:id="210"/>
      <w:bookmarkEnd w:id="211"/>
    </w:p>
    <w:p>
      <w:pPr>
        <w:pStyle w:val="67"/>
        <w:ind w:firstLine="420"/>
      </w:pPr>
      <w:r>
        <w:rPr>
          <w:rFonts w:hint="eastAsia"/>
        </w:rPr>
        <w:t>地下空间地籍图为传统地籍图，由地表部分和地下部分叠加而成，包含但不限于：</w:t>
      </w:r>
    </w:p>
    <w:p>
      <w:pPr>
        <w:pStyle w:val="55"/>
        <w:keepNext w:val="0"/>
        <w:keepLines w:val="0"/>
        <w:pageBreakBefore w:val="0"/>
        <w:widowControl/>
        <w:numPr>
          <w:ilvl w:val="0"/>
          <w:numId w:val="38"/>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结建地下工程，采用现行的地籍图表示；</w:t>
      </w:r>
    </w:p>
    <w:p>
      <w:pPr>
        <w:pStyle w:val="55"/>
        <w:keepNext w:val="0"/>
        <w:keepLines w:val="0"/>
        <w:pageBreakBefore w:val="0"/>
        <w:widowControl/>
        <w:numPr>
          <w:ilvl w:val="0"/>
          <w:numId w:val="38"/>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单建地下工程，其地籍图分地表部分和地下部分分别表示；</w:t>
      </w:r>
    </w:p>
    <w:p>
      <w:pPr>
        <w:pStyle w:val="55"/>
        <w:keepNext w:val="0"/>
        <w:keepLines w:val="0"/>
        <w:pageBreakBefore w:val="0"/>
        <w:widowControl/>
        <w:numPr>
          <w:ilvl w:val="0"/>
          <w:numId w:val="38"/>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地表部分的地籍图按现行规则执行，并叠加地下空间的宗地界线；</w:t>
      </w:r>
    </w:p>
    <w:p>
      <w:pPr>
        <w:pStyle w:val="55"/>
        <w:keepNext w:val="0"/>
        <w:keepLines w:val="0"/>
        <w:pageBreakBefore w:val="0"/>
        <w:widowControl/>
        <w:numPr>
          <w:ilvl w:val="0"/>
          <w:numId w:val="38"/>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地下部分的地籍图可采用标准分幅图或不依比例尺自由分幅图，以垂直投影方式将地下空间的权属界线、宗地号、建筑物等要素投影到水平面上，并叠加地面宗地界线、道路名称等要素。地下空间的宗地界线为蓝线，宗地界线和地下定着物的外围轮廓线以虚线表示。</w:t>
      </w:r>
    </w:p>
    <w:p>
      <w:pPr>
        <w:pStyle w:val="65"/>
        <w:ind w:left="0"/>
      </w:pPr>
      <w:bookmarkStart w:id="212" w:name="_Toc10307"/>
      <w:bookmarkStart w:id="213" w:name="_Toc182213545"/>
      <w:r>
        <w:rPr>
          <w:rFonts w:hint="eastAsia"/>
        </w:rPr>
        <w:t>地下空间不动产单元图编制</w:t>
      </w:r>
      <w:bookmarkEnd w:id="212"/>
      <w:bookmarkEnd w:id="213"/>
    </w:p>
    <w:p>
      <w:pPr>
        <w:pStyle w:val="69"/>
        <w:spacing w:before="156" w:after="156"/>
      </w:pPr>
      <w:bookmarkStart w:id="214" w:name="_Toc24692"/>
      <w:r>
        <w:rPr>
          <w:rFonts w:hint="eastAsia"/>
        </w:rPr>
        <w:t>一般规定</w:t>
      </w:r>
      <w:bookmarkEnd w:id="214"/>
    </w:p>
    <w:p>
      <w:pPr>
        <w:pStyle w:val="67"/>
        <w:ind w:firstLine="420"/>
      </w:pPr>
      <w:r>
        <w:rPr>
          <w:rFonts w:hint="eastAsia"/>
        </w:rPr>
        <w:t>宗地图采用平面和立体两种形式编制，根据管理需要分别编制地下空间分层分户图编制、地下空间宗地平面图和地下空间宗地立体透视图。</w:t>
      </w:r>
    </w:p>
    <w:p>
      <w:pPr>
        <w:pStyle w:val="69"/>
        <w:spacing w:before="156" w:after="156"/>
      </w:pPr>
      <w:bookmarkStart w:id="215" w:name="_Toc1563"/>
      <w:r>
        <w:rPr>
          <w:rFonts w:hint="eastAsia"/>
        </w:rPr>
        <w:t>地下空间分层分户图编制</w:t>
      </w:r>
      <w:bookmarkEnd w:id="215"/>
    </w:p>
    <w:p>
      <w:pPr>
        <w:pStyle w:val="67"/>
        <w:ind w:firstLine="420"/>
      </w:pPr>
      <w:r>
        <w:rPr>
          <w:rFonts w:hint="eastAsia"/>
        </w:rPr>
        <w:t>以数字化和要素测绘成果为基础，地下空间分层分户图沿用地面建筑分层图相同绘制方法分层编制。</w:t>
      </w:r>
    </w:p>
    <w:p>
      <w:pPr>
        <w:pStyle w:val="69"/>
        <w:spacing w:before="156" w:after="156"/>
      </w:pPr>
      <w:bookmarkStart w:id="216" w:name="_Toc17445"/>
      <w:r>
        <w:rPr>
          <w:rFonts w:hint="eastAsia"/>
        </w:rPr>
        <w:t>地下空间宗地平面图</w:t>
      </w:r>
      <w:bookmarkEnd w:id="216"/>
    </w:p>
    <w:p>
      <w:pPr>
        <w:pStyle w:val="67"/>
        <w:ind w:firstLine="420"/>
      </w:pPr>
      <w:r>
        <w:rPr>
          <w:rFonts w:hint="eastAsia"/>
        </w:rPr>
        <w:t>地下空间宗地平面图是地下空间特征要素与地下宗地位置、界址点、界址线关系的记录。</w:t>
      </w:r>
    </w:p>
    <w:p>
      <w:pPr>
        <w:pStyle w:val="69"/>
        <w:spacing w:before="156" w:after="156"/>
      </w:pPr>
      <w:bookmarkStart w:id="217" w:name="_Toc28664"/>
      <w:r>
        <w:rPr>
          <w:rFonts w:hint="eastAsia"/>
        </w:rPr>
        <w:t>地下宗地立体透视图</w:t>
      </w:r>
      <w:bookmarkEnd w:id="217"/>
    </w:p>
    <w:p>
      <w:pPr>
        <w:pStyle w:val="67"/>
        <w:ind w:firstLine="420"/>
      </w:pPr>
      <w:r>
        <w:rPr>
          <w:rFonts w:hint="eastAsia"/>
        </w:rPr>
        <w:t>地下宗地立体透视图是按照东南面俯视45°视角观察地下宗地空间时，其位置、界址点、起始高程、终止高程、供役空间位置等信息的立体效果。</w:t>
      </w:r>
    </w:p>
    <w:p>
      <w:pPr>
        <w:pStyle w:val="65"/>
        <w:ind w:left="0"/>
      </w:pPr>
      <w:bookmarkStart w:id="218" w:name="_Toc176447774"/>
      <w:bookmarkStart w:id="219" w:name="_Toc176265104"/>
      <w:bookmarkStart w:id="220" w:name="_Toc182213546"/>
      <w:bookmarkStart w:id="221" w:name="_Toc8671"/>
      <w:bookmarkStart w:id="222" w:name="_Toc180416770"/>
      <w:r>
        <w:rPr>
          <w:rFonts w:hint="eastAsia"/>
        </w:rPr>
        <w:t>地下宗地面积测算</w:t>
      </w:r>
      <w:bookmarkEnd w:id="218"/>
      <w:bookmarkEnd w:id="219"/>
      <w:bookmarkEnd w:id="220"/>
      <w:bookmarkEnd w:id="221"/>
      <w:bookmarkEnd w:id="222"/>
    </w:p>
    <w:p>
      <w:pPr>
        <w:pStyle w:val="67"/>
        <w:ind w:firstLine="420"/>
      </w:pPr>
      <w:r>
        <w:rPr>
          <w:rFonts w:hint="eastAsia"/>
        </w:rPr>
        <w:t>地下宗地的面积测算单元为宗地。地下空间宗地面积是指地下宗地外围在地表的最大投影面积，可在编制好的数字地籍图上，采用坐标面积计算法。</w:t>
      </w:r>
    </w:p>
    <w:p>
      <w:pPr>
        <w:pStyle w:val="65"/>
        <w:ind w:left="0"/>
      </w:pPr>
      <w:bookmarkStart w:id="223" w:name="_Toc176265105"/>
      <w:bookmarkStart w:id="224" w:name="_Toc176447775"/>
      <w:bookmarkStart w:id="225" w:name="_Toc180416771"/>
      <w:bookmarkStart w:id="226" w:name="_Toc30329"/>
      <w:bookmarkStart w:id="227" w:name="_Toc182213547"/>
      <w:r>
        <w:rPr>
          <w:rFonts w:hint="eastAsia"/>
        </w:rPr>
        <w:t>建筑面积测算</w:t>
      </w:r>
      <w:bookmarkEnd w:id="223"/>
      <w:bookmarkEnd w:id="224"/>
      <w:bookmarkEnd w:id="225"/>
      <w:bookmarkEnd w:id="226"/>
      <w:bookmarkEnd w:id="227"/>
    </w:p>
    <w:p>
      <w:pPr>
        <w:pStyle w:val="67"/>
        <w:ind w:firstLine="420"/>
      </w:pPr>
      <w:r>
        <w:rPr>
          <w:rFonts w:hint="eastAsia"/>
        </w:rPr>
        <w:t>非经营性用途的地下工程只需要确定宗地和建筑物所有权；经营性用途的地下工程除了确定宗地和建筑物所有权，还要确定分户房产所有权（含地下车位）。地下工程建筑面积测绘与分摊以“幢”为单位分层分户进行。地下宗地内建构筑物的面积测算规则及其方法按照GB/T 17986.1执行。</w:t>
      </w:r>
    </w:p>
    <w:p>
      <w:pPr>
        <w:pStyle w:val="66"/>
        <w:spacing w:before="312" w:after="312"/>
      </w:pPr>
      <w:bookmarkStart w:id="228" w:name="_Toc182213548"/>
      <w:bookmarkStart w:id="229" w:name="_Toc176447776"/>
      <w:bookmarkStart w:id="230" w:name="_Toc180416799"/>
      <w:bookmarkStart w:id="231" w:name="_Toc181907121"/>
      <w:bookmarkStart w:id="232" w:name="_Toc23147"/>
      <w:bookmarkStart w:id="233" w:name="_Toc176265106"/>
      <w:bookmarkStart w:id="234" w:name="_Toc180416772"/>
      <w:bookmarkStart w:id="235" w:name="_Toc181183221"/>
      <w:r>
        <w:rPr>
          <w:rFonts w:hint="eastAsia"/>
        </w:rPr>
        <w:t>成果检查与整理归档</w:t>
      </w:r>
      <w:bookmarkEnd w:id="228"/>
      <w:bookmarkEnd w:id="229"/>
      <w:bookmarkEnd w:id="230"/>
      <w:bookmarkEnd w:id="231"/>
      <w:bookmarkEnd w:id="232"/>
      <w:bookmarkEnd w:id="233"/>
      <w:bookmarkEnd w:id="234"/>
      <w:bookmarkEnd w:id="235"/>
    </w:p>
    <w:p>
      <w:pPr>
        <w:pStyle w:val="65"/>
        <w:ind w:left="0"/>
      </w:pPr>
      <w:bookmarkStart w:id="236" w:name="_Toc180416773"/>
      <w:bookmarkStart w:id="237" w:name="_Toc26440"/>
      <w:bookmarkStart w:id="238" w:name="_Toc176447777"/>
      <w:bookmarkStart w:id="239" w:name="_Toc182213549"/>
      <w:bookmarkStart w:id="240" w:name="_Toc176265107"/>
      <w:r>
        <w:rPr>
          <w:rFonts w:hint="eastAsia"/>
        </w:rPr>
        <w:t>成果检查</w:t>
      </w:r>
      <w:bookmarkEnd w:id="236"/>
      <w:bookmarkEnd w:id="237"/>
      <w:bookmarkEnd w:id="238"/>
      <w:bookmarkEnd w:id="239"/>
      <w:bookmarkEnd w:id="240"/>
    </w:p>
    <w:p>
      <w:pPr>
        <w:pStyle w:val="68"/>
      </w:pPr>
      <w:r>
        <w:rPr>
          <w:rFonts w:hint="eastAsia"/>
        </w:rPr>
        <w:t>地下空间不动产权籍调查成果的质量检查分为地籍资料核对和测量成果质量检查。</w:t>
      </w:r>
    </w:p>
    <w:p>
      <w:pPr>
        <w:pStyle w:val="68"/>
      </w:pPr>
      <w:r>
        <w:rPr>
          <w:rFonts w:hint="eastAsia"/>
        </w:rPr>
        <w:t>地籍资料核对由具有资质的单位承担，测量成果质量检查参照GB/T 42547、GB/T 17986.1、GB/T 24356执行，并接受自然资源管理部门的质量监督检验。</w:t>
      </w:r>
    </w:p>
    <w:p>
      <w:pPr>
        <w:pStyle w:val="65"/>
        <w:ind w:left="0"/>
      </w:pPr>
      <w:bookmarkStart w:id="241" w:name="_Toc15557"/>
      <w:bookmarkStart w:id="242" w:name="_Toc176265108"/>
      <w:bookmarkStart w:id="243" w:name="_Toc182213550"/>
      <w:bookmarkStart w:id="244" w:name="_Toc176447778"/>
      <w:bookmarkStart w:id="245" w:name="_Toc180416774"/>
      <w:r>
        <w:rPr>
          <w:rFonts w:hint="eastAsia"/>
        </w:rPr>
        <w:t>成果整理归档</w:t>
      </w:r>
      <w:bookmarkEnd w:id="241"/>
      <w:bookmarkEnd w:id="242"/>
      <w:bookmarkEnd w:id="243"/>
      <w:bookmarkEnd w:id="244"/>
      <w:bookmarkEnd w:id="245"/>
    </w:p>
    <w:p>
      <w:pPr>
        <w:pStyle w:val="68"/>
      </w:pPr>
      <w:r>
        <w:rPr>
          <w:rFonts w:hint="eastAsia"/>
        </w:rPr>
        <w:t>图纸资料归档包括纸质资料归档和电子资料归档两部分内容。</w:t>
      </w:r>
    </w:p>
    <w:p>
      <w:pPr>
        <w:pStyle w:val="68"/>
      </w:pPr>
      <w:r>
        <w:rPr>
          <w:rFonts w:hint="eastAsia"/>
        </w:rPr>
        <w:t>归档要求主要包括图纸资料编码、图纸资料存放和数据资料管理办法的部分内容：</w:t>
      </w:r>
    </w:p>
    <w:p>
      <w:pPr>
        <w:pStyle w:val="55"/>
        <w:keepNext w:val="0"/>
        <w:keepLines w:val="0"/>
        <w:pageBreakBefore w:val="0"/>
        <w:widowControl/>
        <w:numPr>
          <w:ilvl w:val="0"/>
          <w:numId w:val="39"/>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图纸资料编码：以单个地下空间为基本单元对资料进行归并编码。纸质资料和电子资料采用相同的编码；</w:t>
      </w:r>
    </w:p>
    <w:p>
      <w:pPr>
        <w:pStyle w:val="55"/>
        <w:keepNext w:val="0"/>
        <w:keepLines w:val="0"/>
        <w:pageBreakBefore w:val="0"/>
        <w:widowControl/>
        <w:numPr>
          <w:ilvl w:val="0"/>
          <w:numId w:val="39"/>
        </w:numPr>
        <w:kinsoku/>
        <w:wordWrap/>
        <w:overflowPunct/>
        <w:topLinePunct w:val="0"/>
        <w:autoSpaceDE/>
        <w:autoSpaceDN/>
        <w:bidi w:val="0"/>
        <w:adjustRightInd/>
        <w:snapToGrid/>
        <w:ind w:left="840" w:leftChars="200" w:hanging="420" w:hangingChars="200"/>
        <w:textAlignment w:val="auto"/>
        <w:rPr>
          <w:rFonts w:hint="eastAsia"/>
          <w:lang w:val="en-US" w:eastAsia="zh-CN"/>
        </w:rPr>
      </w:pPr>
      <w:r>
        <w:rPr>
          <w:rFonts w:hint="eastAsia"/>
          <w:lang w:val="en-US" w:eastAsia="zh-CN"/>
        </w:rPr>
        <w:t>图纸资料存放：以编码对纸质档案袋和电子文件夹进行命名。以区县为单位，按照操作流水号依次存放。</w:t>
      </w:r>
    </w:p>
    <w:p>
      <w:pPr>
        <w:pStyle w:val="65"/>
        <w:ind w:left="0"/>
      </w:pPr>
      <w:bookmarkStart w:id="246" w:name="_Toc182213551"/>
      <w:bookmarkStart w:id="247" w:name="_Toc180416775"/>
      <w:bookmarkStart w:id="248" w:name="_Toc5506"/>
      <w:r>
        <w:rPr>
          <w:rFonts w:hint="eastAsia"/>
        </w:rPr>
        <w:t>保存期限</w:t>
      </w:r>
      <w:bookmarkEnd w:id="246"/>
      <w:bookmarkEnd w:id="247"/>
      <w:bookmarkEnd w:id="248"/>
    </w:p>
    <w:p>
      <w:pPr>
        <w:pStyle w:val="51"/>
        <w:rPr>
          <w:rFonts w:hint="eastAsia" w:eastAsia="宋体"/>
          <w:lang w:val="en-US" w:eastAsia="zh-CN"/>
        </w:rPr>
      </w:pPr>
      <w:r>
        <w:rPr>
          <w:rFonts w:hint="eastAsia"/>
        </w:rPr>
        <w:t>应当编制各类文件材料归档范围和档案保管期限表，已有数字化成果，已经注销且自注销之日起满五年的居住权登记、地役权登记、抵押权登记、查封登记、预告登记、异议登记，纸质不动产登记原始资料可销毁；电子资料和其他登记类型的纸质不动产登记原始资料应永久保存</w:t>
      </w:r>
      <w:r>
        <w:rPr>
          <w:rFonts w:hint="eastAsia"/>
          <w:lang w:eastAsia="zh-CN"/>
        </w:rPr>
        <w:t>。</w:t>
      </w:r>
    </w:p>
    <w:p>
      <w:pPr>
        <w:pStyle w:val="51"/>
        <w:rPr>
          <w:rFonts w:hint="default"/>
          <w:lang w:val="en-US" w:eastAsia="zh-CN"/>
        </w:rPr>
      </w:pPr>
    </w:p>
    <w:p>
      <w:pPr>
        <w:pStyle w:val="51"/>
        <w:rPr>
          <w:rFonts w:hint="eastAsia"/>
        </w:rPr>
        <w:sectPr>
          <w:headerReference r:id="rId18" w:type="default"/>
          <w:footerReference r:id="rId20" w:type="default"/>
          <w:headerReference r:id="rId19" w:type="even"/>
          <w:footerReference r:id="rId21" w:type="even"/>
          <w:pgSz w:w="11906" w:h="16838"/>
          <w:pgMar w:top="1417" w:right="1134" w:bottom="1134" w:left="1418" w:header="1417" w:footer="1134" w:gutter="0"/>
          <w:pgBorders>
            <w:top w:val="none" w:sz="0" w:space="0"/>
            <w:left w:val="none" w:sz="0" w:space="0"/>
            <w:bottom w:val="none" w:sz="0" w:space="0"/>
            <w:right w:val="none" w:sz="0" w:space="0"/>
          </w:pgBorders>
          <w:pgNumType w:fmt="decimal" w:start="1"/>
          <w:cols w:space="425" w:num="1"/>
          <w:docGrid w:type="lines" w:linePitch="312" w:charSpace="0"/>
        </w:sectPr>
      </w:pPr>
    </w:p>
    <w:p>
      <w:pPr>
        <w:pStyle w:val="6"/>
        <w:keepNext w:val="0"/>
        <w:keepLines w:val="0"/>
        <w:pageBreakBefore w:val="0"/>
        <w:widowControl w:val="0"/>
        <w:kinsoku/>
        <w:wordWrap/>
        <w:overflowPunct/>
        <w:topLinePunct w:val="0"/>
        <w:autoSpaceDE/>
        <w:autoSpaceDN/>
        <w:bidi w:val="0"/>
        <w:adjustRightInd w:val="0"/>
        <w:snapToGrid w:val="0"/>
        <w:spacing w:before="567"/>
        <w:ind w:left="0" w:leftChars="0" w:firstLine="0" w:firstLineChars="0"/>
        <w:jc w:val="center"/>
        <w:textAlignment w:val="auto"/>
        <w:outlineLvl w:val="0"/>
        <w:rPr>
          <w:rFonts w:hint="eastAsia" w:ascii="黑体" w:hAnsi="黑体" w:eastAsia="黑体" w:cs="黑体"/>
          <w:sz w:val="21"/>
          <w:szCs w:val="21"/>
          <w:lang w:val="en-US" w:eastAsia="zh-CN"/>
        </w:rPr>
      </w:pPr>
      <w:bookmarkStart w:id="249" w:name="_Toc27120"/>
      <w:bookmarkStart w:id="250" w:name="_Toc22372"/>
      <w:r>
        <w:rPr>
          <w:rFonts w:hint="eastAsia" w:ascii="黑体" w:hAnsi="黑体" w:eastAsia="黑体" w:cs="黑体"/>
          <w:sz w:val="21"/>
          <w:szCs w:val="21"/>
          <w:lang w:val="en-US" w:eastAsia="zh-CN"/>
        </w:rPr>
        <w:t>附  录  A</w:t>
      </w:r>
      <w:bookmarkEnd w:id="249"/>
      <w:bookmarkEnd w:id="250"/>
    </w:p>
    <w:p>
      <w:pPr>
        <w:pStyle w:val="7"/>
        <w:keepNext w:val="0"/>
        <w:keepLines w:val="0"/>
        <w:pageBreakBefore w:val="0"/>
        <w:widowControl w:val="0"/>
        <w:kinsoku/>
        <w:wordWrap/>
        <w:overflowPunct/>
        <w:topLinePunct w:val="0"/>
        <w:autoSpaceDE/>
        <w:autoSpaceDN/>
        <w:bidi w:val="0"/>
        <w:snapToGrid w:val="0"/>
        <w:jc w:val="center"/>
        <w:textAlignment w:val="auto"/>
        <w:outlineLvl w:val="0"/>
        <w:rPr>
          <w:rFonts w:hint="eastAsia" w:ascii="黑体" w:hAnsi="黑体" w:eastAsia="黑体" w:cs="黑体"/>
          <w:sz w:val="21"/>
          <w:szCs w:val="21"/>
          <w:lang w:val="en-US" w:eastAsia="zh-CN"/>
        </w:rPr>
      </w:pPr>
      <w:bookmarkStart w:id="251" w:name="_Toc23324"/>
      <w:bookmarkStart w:id="252" w:name="_Toc26207"/>
      <w:bookmarkStart w:id="253" w:name="_Toc21414"/>
      <w:r>
        <w:rPr>
          <w:rFonts w:hint="eastAsia" w:ascii="黑体" w:hAnsi="黑体" w:eastAsia="黑体" w:cs="黑体"/>
          <w:sz w:val="21"/>
          <w:szCs w:val="21"/>
          <w:lang w:val="en-US" w:eastAsia="zh-CN"/>
        </w:rPr>
        <w:t>（规范性）</w:t>
      </w:r>
      <w:bookmarkEnd w:id="251"/>
      <w:bookmarkEnd w:id="252"/>
      <w:bookmarkEnd w:id="253"/>
    </w:p>
    <w:p>
      <w:pPr>
        <w:pStyle w:val="7"/>
        <w:keepNext w:val="0"/>
        <w:keepLines w:val="0"/>
        <w:pageBreakBefore w:val="0"/>
        <w:widowControl w:val="0"/>
        <w:kinsoku/>
        <w:wordWrap/>
        <w:overflowPunct/>
        <w:topLinePunct w:val="0"/>
        <w:autoSpaceDE/>
        <w:autoSpaceDN/>
        <w:bidi w:val="0"/>
        <w:adjustRightInd w:val="0"/>
        <w:snapToGrid w:val="0"/>
        <w:spacing w:after="283"/>
        <w:jc w:val="center"/>
        <w:textAlignment w:val="auto"/>
        <w:outlineLvl w:val="0"/>
        <w:rPr>
          <w:rFonts w:hint="default" w:ascii="黑体" w:hAnsi="黑体" w:eastAsia="黑体"/>
          <w:color w:val="000000"/>
          <w:sz w:val="21"/>
          <w:szCs w:val="21"/>
          <w:lang w:val="en-US" w:eastAsia="zh-CN"/>
        </w:rPr>
      </w:pPr>
      <w:bookmarkStart w:id="254" w:name="_Toc20660"/>
      <w:r>
        <w:rPr>
          <w:rFonts w:hint="eastAsia" w:ascii="黑体" w:hAnsi="黑体" w:eastAsia="黑体"/>
          <w:color w:val="000000"/>
          <w:sz w:val="21"/>
          <w:szCs w:val="21"/>
          <w:lang w:val="en-US" w:eastAsia="zh-CN"/>
        </w:rPr>
        <w:t>地籍调查表（地下）</w:t>
      </w:r>
      <w:bookmarkEnd w:id="254"/>
    </w:p>
    <w:p>
      <w:pPr>
        <w:pStyle w:val="73"/>
        <w:keepNext w:val="0"/>
        <w:keepLines w:val="0"/>
        <w:pageBreakBefore w:val="0"/>
        <w:widowControl w:val="0"/>
        <w:numPr>
          <w:ilvl w:val="1"/>
          <w:numId w:val="0"/>
        </w:numPr>
        <w:kinsoku/>
        <w:wordWrap/>
        <w:overflowPunct/>
        <w:topLinePunct w:val="0"/>
        <w:autoSpaceDE/>
        <w:autoSpaceDN/>
        <w:bidi w:val="0"/>
        <w:adjustRightInd/>
        <w:snapToGrid/>
        <w:spacing w:before="156" w:after="156"/>
        <w:ind w:left="0" w:leftChars="0" w:firstLine="0" w:firstLineChars="0"/>
        <w:textAlignment w:val="auto"/>
        <w:rPr>
          <w:rFonts w:hint="eastAsia"/>
          <w:lang w:val="en-US" w:eastAsia="zh-CN"/>
        </w:rPr>
      </w:pPr>
      <w:bookmarkStart w:id="255" w:name="_Toc19542"/>
      <w:r>
        <w:rPr>
          <w:rFonts w:hint="eastAsia" w:ascii="黑体" w:hAnsi="Times New Roman" w:eastAsia="黑体" w:cs="Times New Roman"/>
          <w:b w:val="0"/>
          <w:i w:val="0"/>
          <w:snapToGrid/>
          <w:spacing w:val="0"/>
          <w:w w:val="100"/>
          <w:kern w:val="21"/>
          <w:sz w:val="21"/>
          <w:lang w:val="en-US" w:eastAsia="zh-CN" w:bidi="ar-SA"/>
        </w:rPr>
        <w:t>A.1　</w:t>
      </w:r>
      <w:r>
        <w:rPr>
          <w:rFonts w:hint="eastAsia"/>
          <w:lang w:val="en-US" w:eastAsia="zh-CN"/>
        </w:rPr>
        <w:t>地籍调查表（地下）封面</w:t>
      </w:r>
      <w:bookmarkEnd w:id="255"/>
    </w:p>
    <w:p>
      <w:pPr>
        <w:pStyle w:val="67"/>
        <w:rPr>
          <w:rFonts w:hint="default"/>
          <w:lang w:val="en-US" w:eastAsia="zh-CN"/>
        </w:rPr>
      </w:pPr>
      <w:r>
        <w:rPr>
          <w:rFonts w:hint="eastAsia"/>
          <w:lang w:val="en-US" w:eastAsia="zh-CN"/>
        </w:rPr>
        <w:t>地籍调查表（地下）封面示例如表A.1。</w:t>
      </w:r>
    </w:p>
    <w:p>
      <w:pPr>
        <w:pStyle w:val="83"/>
        <w:spacing w:before="156" w:after="156"/>
        <w:rPr>
          <w:rFonts w:hint="eastAsia"/>
          <w:lang w:val="en-US" w:eastAsia="zh-CN"/>
        </w:rPr>
      </w:pPr>
      <w:r>
        <w:rPr>
          <w:rFonts w:hint="eastAsia"/>
        </w:rPr>
        <w:t xml:space="preserve"> </w:t>
      </w:r>
      <w:r>
        <w:rPr>
          <w:rFonts w:hint="eastAsia"/>
          <w:lang w:val="en-US" w:eastAsia="zh-CN"/>
        </w:rPr>
        <w:t>地籍调查表（地下）封面示例</w:t>
      </w:r>
    </w:p>
    <w:tbl>
      <w:tblPr>
        <w:tblStyle w:val="21"/>
        <w:tblW w:w="0" w:type="auto"/>
        <w:jc w:val="center"/>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Layout w:type="autofit"/>
        <w:tblCellMar>
          <w:top w:w="0" w:type="dxa"/>
          <w:left w:w="0" w:type="dxa"/>
          <w:bottom w:w="0" w:type="dxa"/>
          <w:right w:w="0" w:type="dxa"/>
        </w:tblCellMar>
      </w:tblPr>
      <w:tblGrid>
        <w:gridCol w:w="9344"/>
      </w:tblGrid>
      <w:tr>
        <w:tblPrEx>
          <w:tblBorders>
            <w:top w:val="single" w:color="000000" w:sz="12" w:space="0"/>
            <w:left w:val="single" w:color="000000" w:sz="12" w:space="0"/>
            <w:bottom w:val="single" w:color="000000" w:sz="12" w:space="0"/>
            <w:right w:val="single" w:color="000000" w:sz="12" w:space="0"/>
            <w:insideH w:val="none" w:color="auto" w:sz="0" w:space="0"/>
            <w:insideV w:val="none" w:color="auto" w:sz="0" w:space="0"/>
          </w:tblBorders>
          <w:tblCellMar>
            <w:top w:w="0" w:type="dxa"/>
            <w:left w:w="0" w:type="dxa"/>
            <w:bottom w:w="0" w:type="dxa"/>
            <w:right w:w="0" w:type="dxa"/>
          </w:tblCellMar>
        </w:tblPrEx>
        <w:trPr>
          <w:trHeight w:val="10272" w:hRule="atLeast"/>
          <w:tblHeader/>
          <w:jc w:val="center"/>
        </w:trPr>
        <w:tc>
          <w:tcPr>
            <w:tcW w:w="9344" w:type="dxa"/>
            <w:shd w:val="clear" w:color="auto" w:fill="auto"/>
            <w:vAlign w:val="center"/>
          </w:tcPr>
          <w:p>
            <w:pPr>
              <w:pStyle w:val="76"/>
              <w:widowControl w:val="0"/>
            </w:pPr>
            <w:r>
              <w:rPr>
                <w:rFonts w:hint="eastAsia"/>
              </w:rPr>
              <w:t xml:space="preserve">                                                    编号：</w:t>
            </w:r>
          </w:p>
          <w:p>
            <w:pPr>
              <w:pStyle w:val="76"/>
              <w:widowControl w:val="0"/>
            </w:pPr>
          </w:p>
          <w:p>
            <w:pPr>
              <w:pStyle w:val="76"/>
              <w:widowControl w:val="0"/>
            </w:pPr>
          </w:p>
          <w:p>
            <w:pPr>
              <w:pStyle w:val="76"/>
              <w:widowControl w:val="0"/>
            </w:pPr>
          </w:p>
          <w:p>
            <w:pPr>
              <w:pStyle w:val="76"/>
              <w:widowControl w:val="0"/>
            </w:pPr>
          </w:p>
          <w:p>
            <w:pPr>
              <w:pStyle w:val="76"/>
              <w:widowControl w:val="0"/>
            </w:pPr>
          </w:p>
          <w:p>
            <w:pPr>
              <w:pStyle w:val="76"/>
              <w:widowControl w:val="0"/>
              <w:rPr>
                <w:sz w:val="28"/>
                <w:szCs w:val="28"/>
              </w:rPr>
            </w:pPr>
            <w:r>
              <w:rPr>
                <w:rFonts w:hint="eastAsia"/>
                <w:sz w:val="28"/>
                <w:szCs w:val="28"/>
              </w:rPr>
              <w:t>地 籍 调 查 表</w:t>
            </w:r>
          </w:p>
          <w:p>
            <w:pPr>
              <w:pStyle w:val="76"/>
              <w:widowControl w:val="0"/>
            </w:pPr>
            <w:r>
              <w:rPr>
                <w:rFonts w:hint="eastAsia"/>
              </w:rPr>
              <w:t>（地下）</w:t>
            </w:r>
          </w:p>
          <w:p>
            <w:pPr>
              <w:pStyle w:val="76"/>
              <w:widowControl w:val="0"/>
            </w:pPr>
          </w:p>
          <w:p>
            <w:pPr>
              <w:pStyle w:val="76"/>
              <w:widowControl w:val="0"/>
            </w:pPr>
          </w:p>
          <w:p>
            <w:pPr>
              <w:pStyle w:val="76"/>
              <w:widowControl w:val="0"/>
            </w:pPr>
          </w:p>
          <w:p>
            <w:pPr>
              <w:pStyle w:val="76"/>
              <w:widowControl w:val="0"/>
              <w:ind w:firstLine="1680" w:firstLineChars="700"/>
              <w:jc w:val="both"/>
              <w:rPr>
                <w:sz w:val="24"/>
                <w:szCs w:val="24"/>
                <w:u w:val="single"/>
              </w:rPr>
            </w:pPr>
            <w:r>
              <w:rPr>
                <w:rFonts w:hint="eastAsia"/>
                <w:sz w:val="24"/>
                <w:szCs w:val="24"/>
              </w:rPr>
              <w:t>地下宗地代码：</w:t>
            </w:r>
            <w:r>
              <w:rPr>
                <w:rFonts w:hint="eastAsia"/>
                <w:sz w:val="24"/>
                <w:szCs w:val="24"/>
                <w:u w:val="single"/>
              </w:rPr>
              <w:t xml:space="preserve">                                    </w:t>
            </w:r>
          </w:p>
          <w:p>
            <w:pPr>
              <w:pStyle w:val="76"/>
              <w:widowControl w:val="0"/>
              <w:ind w:firstLine="1680" w:firstLineChars="700"/>
              <w:jc w:val="both"/>
              <w:rPr>
                <w:sz w:val="24"/>
                <w:szCs w:val="24"/>
              </w:rPr>
            </w:pPr>
            <w:r>
              <w:rPr>
                <w:rFonts w:hint="eastAsia"/>
                <w:sz w:val="24"/>
                <w:szCs w:val="24"/>
              </w:rPr>
              <w:t>地下空间坐落：</w:t>
            </w:r>
            <w:r>
              <w:rPr>
                <w:rFonts w:hint="eastAsia"/>
                <w:sz w:val="24"/>
                <w:szCs w:val="24"/>
                <w:u w:val="single"/>
              </w:rPr>
              <w:t xml:space="preserve">        区（县）      街道、乡（镇）</w:t>
            </w:r>
          </w:p>
          <w:p>
            <w:pPr>
              <w:pStyle w:val="76"/>
              <w:widowControl w:val="0"/>
              <w:ind w:firstLine="1680" w:firstLineChars="700"/>
              <w:jc w:val="both"/>
              <w:rPr>
                <w:rFonts w:hint="eastAsia" w:ascii="宋体" w:hAnsi="Times New Roman" w:eastAsia="宋体" w:cs="Times New Roman"/>
                <w:sz w:val="24"/>
                <w:szCs w:val="24"/>
                <w:u w:val="single"/>
              </w:rPr>
            </w:pPr>
            <w:r>
              <w:rPr>
                <w:rFonts w:hint="eastAsia" w:ascii="宋体" w:hAnsi="Times New Roman" w:eastAsia="宋体" w:cs="Times New Roman"/>
                <w:sz w:val="24"/>
                <w:szCs w:val="24"/>
              </w:rPr>
              <w:t>调查单位（机构）：</w:t>
            </w:r>
            <w:r>
              <w:rPr>
                <w:rFonts w:hint="eastAsia" w:ascii="宋体" w:hAnsi="Times New Roman" w:eastAsia="宋体" w:cs="Times New Roman"/>
                <w:sz w:val="24"/>
                <w:szCs w:val="24"/>
                <w:u w:val="single"/>
              </w:rPr>
              <w:t xml:space="preserve">         </w:t>
            </w:r>
            <w:r>
              <w:rPr>
                <w:rFonts w:hint="eastAsia" w:ascii="宋体" w:hAnsi="Times New Roman" w:eastAsia="宋体" w:cs="Times New Roman"/>
                <w:sz w:val="24"/>
                <w:szCs w:val="24"/>
                <w:u w:val="single"/>
                <w:lang w:val="en-US" w:eastAsia="zh-CN"/>
              </w:rPr>
              <w:t xml:space="preserve">       </w:t>
            </w:r>
            <w:r>
              <w:rPr>
                <w:rFonts w:hint="eastAsia" w:ascii="宋体" w:hAnsi="Times New Roman" w:eastAsia="宋体" w:cs="Times New Roman"/>
                <w:sz w:val="24"/>
                <w:szCs w:val="24"/>
                <w:u w:val="single"/>
              </w:rPr>
              <w:t xml:space="preserve">                </w:t>
            </w:r>
          </w:p>
          <w:p>
            <w:pPr>
              <w:pStyle w:val="76"/>
              <w:widowControl w:val="0"/>
            </w:pPr>
          </w:p>
          <w:p>
            <w:pPr>
              <w:pStyle w:val="76"/>
              <w:widowControl w:val="0"/>
            </w:pPr>
          </w:p>
          <w:p>
            <w:pPr>
              <w:pStyle w:val="76"/>
              <w:widowControl w:val="0"/>
            </w:pPr>
          </w:p>
          <w:p>
            <w:pPr>
              <w:pStyle w:val="76"/>
              <w:widowControl w:val="0"/>
            </w:pPr>
          </w:p>
          <w:p>
            <w:pPr>
              <w:pStyle w:val="76"/>
              <w:widowControl w:val="0"/>
              <w:rPr>
                <w:sz w:val="24"/>
                <w:szCs w:val="24"/>
              </w:rPr>
            </w:pPr>
            <w:r>
              <w:rPr>
                <w:rFonts w:hint="eastAsia"/>
                <w:sz w:val="24"/>
                <w:szCs w:val="24"/>
              </w:rPr>
              <w:t>年     月    日</w:t>
            </w:r>
          </w:p>
          <w:p>
            <w:pPr>
              <w:pStyle w:val="76"/>
              <w:widowControl w:val="0"/>
            </w:pPr>
          </w:p>
          <w:p>
            <w:pPr>
              <w:pStyle w:val="76"/>
              <w:widowControl w:val="0"/>
            </w:pPr>
          </w:p>
          <w:p>
            <w:pPr>
              <w:pStyle w:val="76"/>
              <w:widowControl w:val="0"/>
            </w:pPr>
          </w:p>
          <w:p>
            <w:pPr>
              <w:pStyle w:val="76"/>
              <w:widowControl w:val="0"/>
            </w:pPr>
          </w:p>
          <w:p>
            <w:pPr>
              <w:pStyle w:val="76"/>
              <w:widowControl w:val="0"/>
            </w:pPr>
          </w:p>
          <w:p>
            <w:pPr>
              <w:pStyle w:val="76"/>
              <w:widowControl w:val="0"/>
            </w:pPr>
          </w:p>
        </w:tc>
      </w:tr>
    </w:tbl>
    <w:p>
      <w:pPr>
        <w:pStyle w:val="73"/>
        <w:keepNext w:val="0"/>
        <w:keepLines w:val="0"/>
        <w:pageBreakBefore w:val="0"/>
        <w:widowControl w:val="0"/>
        <w:numPr>
          <w:ilvl w:val="1"/>
          <w:numId w:val="0"/>
        </w:numPr>
        <w:kinsoku/>
        <w:wordWrap/>
        <w:overflowPunct/>
        <w:topLinePunct w:val="0"/>
        <w:autoSpaceDE/>
        <w:autoSpaceDN/>
        <w:bidi w:val="0"/>
        <w:adjustRightInd/>
        <w:snapToGrid/>
        <w:spacing w:before="156" w:after="156"/>
        <w:ind w:left="0" w:leftChars="0" w:firstLine="0" w:firstLineChars="0"/>
        <w:textAlignment w:val="auto"/>
      </w:pPr>
      <w:bookmarkStart w:id="256" w:name="_Toc26687"/>
      <w:bookmarkStart w:id="257" w:name="_Toc180416778"/>
      <w:bookmarkStart w:id="258" w:name="_Toc182213554"/>
      <w:bookmarkStart w:id="259" w:name="_Toc176265111"/>
      <w:bookmarkStart w:id="260" w:name="_Toc176447781"/>
      <w:r>
        <w:rPr>
          <w:rFonts w:hint="eastAsia" w:ascii="黑体" w:hAnsi="Times New Roman" w:eastAsia="黑体" w:cs="Times New Roman"/>
          <w:b w:val="0"/>
          <w:i w:val="0"/>
          <w:snapToGrid/>
          <w:spacing w:val="0"/>
          <w:w w:val="100"/>
          <w:kern w:val="21"/>
          <w:sz w:val="21"/>
          <w:lang w:val="en-US" w:eastAsia="zh-CN" w:bidi="ar-SA"/>
        </w:rPr>
        <w:t>A.2　</w:t>
      </w:r>
      <w:r>
        <w:rPr>
          <w:rFonts w:hint="eastAsia"/>
        </w:rPr>
        <w:t>基本情况表</w:t>
      </w:r>
      <w:bookmarkEnd w:id="256"/>
      <w:bookmarkEnd w:id="257"/>
      <w:bookmarkEnd w:id="258"/>
      <w:bookmarkEnd w:id="259"/>
      <w:bookmarkEnd w:id="260"/>
    </w:p>
    <w:p>
      <w:pPr>
        <w:pStyle w:val="67"/>
        <w:ind w:firstLine="420"/>
      </w:pPr>
      <w:r>
        <w:rPr>
          <w:rFonts w:hint="eastAsia"/>
        </w:rPr>
        <w:t>基本情况表示例见表A.2。</w:t>
      </w:r>
    </w:p>
    <w:p>
      <w:pPr>
        <w:pStyle w:val="83"/>
        <w:spacing w:before="156" w:after="156"/>
        <w:rPr>
          <w:rFonts w:hint="eastAsia"/>
        </w:rPr>
      </w:pPr>
      <w:r>
        <w:rPr>
          <w:rFonts w:hint="eastAsia"/>
          <w:lang w:val="en-US" w:eastAsia="zh-CN"/>
        </w:rPr>
        <w:t xml:space="preserve"> </w:t>
      </w:r>
      <w:r>
        <w:rPr>
          <w:rFonts w:hint="eastAsia"/>
        </w:rPr>
        <w:t>基本情况表</w:t>
      </w:r>
    </w:p>
    <w:tbl>
      <w:tblPr>
        <w:tblStyle w:val="21"/>
        <w:tblW w:w="5011" w:type="pct"/>
        <w:tblInd w:w="108" w:type="dxa"/>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autofit"/>
        <w:tblCellMar>
          <w:top w:w="0" w:type="dxa"/>
          <w:left w:w="0" w:type="dxa"/>
          <w:bottom w:w="0" w:type="dxa"/>
          <w:right w:w="0" w:type="dxa"/>
        </w:tblCellMar>
      </w:tblPr>
      <w:tblGrid>
        <w:gridCol w:w="1157"/>
        <w:gridCol w:w="1277"/>
        <w:gridCol w:w="66"/>
        <w:gridCol w:w="1132"/>
        <w:gridCol w:w="954"/>
        <w:gridCol w:w="1206"/>
        <w:gridCol w:w="13"/>
        <w:gridCol w:w="457"/>
        <w:gridCol w:w="519"/>
        <w:gridCol w:w="228"/>
        <w:gridCol w:w="1104"/>
        <w:gridCol w:w="156"/>
        <w:gridCol w:w="1136"/>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blHeader/>
        </w:trPr>
        <w:tc>
          <w:tcPr>
            <w:tcW w:w="1329" w:type="pct"/>
            <w:gridSpan w:val="3"/>
            <w:tcBorders>
              <w:tl2br w:val="nil"/>
              <w:tr2bl w:val="nil"/>
            </w:tcBorders>
            <w:shd w:val="clear" w:color="auto" w:fill="auto"/>
            <w:vAlign w:val="center"/>
          </w:tcPr>
          <w:p>
            <w:pPr>
              <w:pStyle w:val="76"/>
              <w:widowControl w:val="0"/>
            </w:pPr>
            <w:r>
              <w:rPr>
                <w:rFonts w:hint="eastAsia"/>
              </w:rPr>
              <w:t>地下宗地名称</w:t>
            </w:r>
          </w:p>
        </w:tc>
        <w:tc>
          <w:tcPr>
            <w:tcW w:w="3671" w:type="pct"/>
            <w:gridSpan w:val="10"/>
            <w:tcBorders>
              <w:tl2br w:val="nil"/>
              <w:tr2bl w:val="nil"/>
            </w:tcBorders>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c>
          <w:tcPr>
            <w:tcW w:w="1329" w:type="pct"/>
            <w:gridSpan w:val="3"/>
            <w:tcBorders>
              <w:tl2br w:val="nil"/>
              <w:tr2bl w:val="nil"/>
            </w:tcBorders>
            <w:shd w:val="clear" w:color="auto" w:fill="auto"/>
            <w:vAlign w:val="center"/>
          </w:tcPr>
          <w:p>
            <w:pPr>
              <w:pStyle w:val="76"/>
              <w:widowControl w:val="0"/>
            </w:pPr>
            <w:r>
              <w:rPr>
                <w:rFonts w:hint="eastAsia"/>
              </w:rPr>
              <w:t>地下宗地编号</w:t>
            </w:r>
          </w:p>
        </w:tc>
        <w:tc>
          <w:tcPr>
            <w:tcW w:w="3671" w:type="pct"/>
            <w:gridSpan w:val="10"/>
            <w:tcBorders>
              <w:tl2br w:val="nil"/>
              <w:tr2bl w:val="nil"/>
            </w:tcBorders>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c>
          <w:tcPr>
            <w:tcW w:w="1329" w:type="pct"/>
            <w:gridSpan w:val="3"/>
            <w:tcBorders>
              <w:tl2br w:val="nil"/>
              <w:tr2bl w:val="nil"/>
            </w:tcBorders>
            <w:shd w:val="clear" w:color="auto" w:fill="auto"/>
            <w:vAlign w:val="center"/>
          </w:tcPr>
          <w:p>
            <w:pPr>
              <w:pStyle w:val="76"/>
              <w:widowControl w:val="0"/>
            </w:pPr>
            <w:r>
              <w:rPr>
                <w:rFonts w:hint="eastAsia"/>
              </w:rPr>
              <w:t>新增建设用地使用权取得依据</w:t>
            </w:r>
          </w:p>
        </w:tc>
        <w:tc>
          <w:tcPr>
            <w:tcW w:w="3671" w:type="pct"/>
            <w:gridSpan w:val="10"/>
            <w:tcBorders>
              <w:tl2br w:val="nil"/>
              <w:tr2bl w:val="nil"/>
            </w:tcBorders>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c>
          <w:tcPr>
            <w:tcW w:w="1329" w:type="pct"/>
            <w:gridSpan w:val="3"/>
            <w:tcBorders>
              <w:tl2br w:val="nil"/>
              <w:tr2bl w:val="nil"/>
            </w:tcBorders>
            <w:shd w:val="clear" w:color="auto" w:fill="auto"/>
            <w:vAlign w:val="center"/>
          </w:tcPr>
          <w:p>
            <w:pPr>
              <w:pStyle w:val="76"/>
              <w:widowControl w:val="0"/>
            </w:pPr>
            <w:r>
              <w:rPr>
                <w:rFonts w:hint="eastAsia"/>
              </w:rPr>
              <w:t>空间体积</w:t>
            </w:r>
          </w:p>
        </w:tc>
        <w:tc>
          <w:tcPr>
            <w:tcW w:w="3671" w:type="pct"/>
            <w:gridSpan w:val="10"/>
            <w:tcBorders>
              <w:tl2br w:val="nil"/>
              <w:tr2bl w:val="nil"/>
            </w:tcBorders>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c>
          <w:tcPr>
            <w:tcW w:w="615" w:type="pct"/>
            <w:tcBorders>
              <w:tl2br w:val="nil"/>
              <w:tr2bl w:val="nil"/>
            </w:tcBorders>
            <w:shd w:val="clear" w:color="auto" w:fill="auto"/>
            <w:vAlign w:val="center"/>
          </w:tcPr>
          <w:p>
            <w:pPr>
              <w:pStyle w:val="76"/>
              <w:widowControl w:val="0"/>
            </w:pPr>
            <w:r>
              <w:rPr>
                <w:rFonts w:hint="eastAsia"/>
              </w:rPr>
              <w:t>所有权</w:t>
            </w:r>
          </w:p>
        </w:tc>
        <w:tc>
          <w:tcPr>
            <w:tcW w:w="714" w:type="pct"/>
            <w:gridSpan w:val="2"/>
            <w:tcBorders>
              <w:tl2br w:val="nil"/>
              <w:tr2bl w:val="nil"/>
            </w:tcBorders>
            <w:shd w:val="clear" w:color="auto" w:fill="auto"/>
            <w:vAlign w:val="center"/>
          </w:tcPr>
          <w:p>
            <w:pPr>
              <w:pStyle w:val="76"/>
              <w:widowControl w:val="0"/>
            </w:pPr>
            <w:r>
              <w:rPr>
                <w:rFonts w:hint="eastAsia"/>
              </w:rPr>
              <w:t>权利人</w:t>
            </w:r>
          </w:p>
        </w:tc>
        <w:tc>
          <w:tcPr>
            <w:tcW w:w="3671" w:type="pct"/>
            <w:gridSpan w:val="10"/>
            <w:tcBorders>
              <w:tl2br w:val="nil"/>
              <w:tr2bl w:val="nil"/>
            </w:tcBorders>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246" w:hRule="atLeast"/>
        </w:trPr>
        <w:tc>
          <w:tcPr>
            <w:tcW w:w="615" w:type="pct"/>
            <w:vMerge w:val="restart"/>
            <w:tcBorders>
              <w:tl2br w:val="nil"/>
              <w:tr2bl w:val="nil"/>
            </w:tcBorders>
            <w:shd w:val="clear" w:color="auto" w:fill="auto"/>
            <w:vAlign w:val="center"/>
          </w:tcPr>
          <w:p>
            <w:pPr>
              <w:pStyle w:val="76"/>
              <w:widowControl w:val="0"/>
            </w:pPr>
            <w:r>
              <w:rPr>
                <w:rFonts w:hint="eastAsia"/>
              </w:rPr>
              <w:t>使用权</w:t>
            </w:r>
          </w:p>
        </w:tc>
        <w:tc>
          <w:tcPr>
            <w:tcW w:w="714" w:type="pct"/>
            <w:gridSpan w:val="2"/>
            <w:vMerge w:val="restart"/>
            <w:tcBorders>
              <w:tl2br w:val="nil"/>
              <w:tr2bl w:val="nil"/>
            </w:tcBorders>
            <w:shd w:val="clear" w:color="auto" w:fill="auto"/>
            <w:vAlign w:val="center"/>
          </w:tcPr>
          <w:p>
            <w:pPr>
              <w:pStyle w:val="76"/>
              <w:widowControl w:val="0"/>
            </w:pPr>
            <w:r>
              <w:rPr>
                <w:rFonts w:hint="eastAsia"/>
              </w:rPr>
              <w:sym w:font="Wingdings 2" w:char="F0A3"/>
            </w:r>
            <w:r>
              <w:rPr>
                <w:rFonts w:hint="eastAsia"/>
              </w:rPr>
              <w:t>权利人</w:t>
            </w:r>
          </w:p>
          <w:p>
            <w:pPr>
              <w:pStyle w:val="76"/>
              <w:widowControl w:val="0"/>
            </w:pPr>
            <w:r>
              <w:rPr>
                <w:rFonts w:hint="eastAsia"/>
              </w:rPr>
              <w:sym w:font="Wingdings 2" w:char="F0A3"/>
            </w:r>
            <w:r>
              <w:rPr>
                <w:rFonts w:hint="eastAsia"/>
              </w:rPr>
              <w:t>实际使用人</w:t>
            </w:r>
          </w:p>
        </w:tc>
        <w:tc>
          <w:tcPr>
            <w:tcW w:w="1109" w:type="pct"/>
            <w:gridSpan w:val="2"/>
            <w:vMerge w:val="restart"/>
            <w:tcBorders>
              <w:tl2br w:val="nil"/>
              <w:tr2bl w:val="nil"/>
            </w:tcBorders>
            <w:shd w:val="clear" w:color="auto" w:fill="auto"/>
            <w:vAlign w:val="center"/>
          </w:tcPr>
          <w:p>
            <w:pPr>
              <w:pStyle w:val="76"/>
              <w:widowControl w:val="0"/>
            </w:pPr>
          </w:p>
        </w:tc>
        <w:tc>
          <w:tcPr>
            <w:tcW w:w="1288" w:type="pct"/>
            <w:gridSpan w:val="5"/>
            <w:tcBorders>
              <w:tl2br w:val="nil"/>
              <w:tr2bl w:val="nil"/>
            </w:tcBorders>
            <w:shd w:val="clear" w:color="auto" w:fill="auto"/>
            <w:vAlign w:val="center"/>
          </w:tcPr>
          <w:p>
            <w:pPr>
              <w:pStyle w:val="76"/>
              <w:widowControl w:val="0"/>
            </w:pPr>
            <w:r>
              <w:t>权利人或实际使用人类型</w:t>
            </w:r>
          </w:p>
        </w:tc>
        <w:tc>
          <w:tcPr>
            <w:tcW w:w="1274" w:type="pct"/>
            <w:gridSpan w:val="3"/>
            <w:tcBorders>
              <w:tl2br w:val="nil"/>
              <w:tr2bl w:val="nil"/>
            </w:tcBorders>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208" w:hRule="atLeast"/>
        </w:trPr>
        <w:tc>
          <w:tcPr>
            <w:tcW w:w="615" w:type="pct"/>
            <w:vMerge w:val="continue"/>
            <w:tcBorders>
              <w:tl2br w:val="nil"/>
              <w:tr2bl w:val="nil"/>
            </w:tcBorders>
            <w:shd w:val="clear" w:color="auto" w:fill="auto"/>
            <w:vAlign w:val="center"/>
          </w:tcPr>
          <w:p>
            <w:pPr>
              <w:pStyle w:val="76"/>
              <w:widowControl w:val="0"/>
            </w:pPr>
          </w:p>
        </w:tc>
        <w:tc>
          <w:tcPr>
            <w:tcW w:w="714" w:type="pct"/>
            <w:gridSpan w:val="2"/>
            <w:vMerge w:val="continue"/>
            <w:tcBorders>
              <w:tl2br w:val="nil"/>
              <w:tr2bl w:val="nil"/>
            </w:tcBorders>
            <w:shd w:val="clear" w:color="auto" w:fill="auto"/>
            <w:vAlign w:val="center"/>
          </w:tcPr>
          <w:p>
            <w:pPr>
              <w:pStyle w:val="76"/>
              <w:widowControl w:val="0"/>
            </w:pPr>
          </w:p>
        </w:tc>
        <w:tc>
          <w:tcPr>
            <w:tcW w:w="1109" w:type="pct"/>
            <w:gridSpan w:val="2"/>
            <w:vMerge w:val="continue"/>
            <w:tcBorders>
              <w:tl2br w:val="nil"/>
              <w:tr2bl w:val="nil"/>
            </w:tcBorders>
            <w:shd w:val="clear" w:color="auto" w:fill="auto"/>
            <w:vAlign w:val="center"/>
          </w:tcPr>
          <w:p>
            <w:pPr>
              <w:pStyle w:val="76"/>
              <w:widowControl w:val="0"/>
            </w:pPr>
          </w:p>
        </w:tc>
        <w:tc>
          <w:tcPr>
            <w:tcW w:w="1288" w:type="pct"/>
            <w:gridSpan w:val="5"/>
            <w:tcBorders>
              <w:tl2br w:val="nil"/>
              <w:tr2bl w:val="nil"/>
            </w:tcBorders>
            <w:shd w:val="clear" w:color="auto" w:fill="auto"/>
            <w:vAlign w:val="center"/>
          </w:tcPr>
          <w:p>
            <w:pPr>
              <w:pStyle w:val="76"/>
              <w:widowControl w:val="0"/>
            </w:pPr>
            <w:r>
              <w:t>证书种类</w:t>
            </w:r>
          </w:p>
        </w:tc>
        <w:tc>
          <w:tcPr>
            <w:tcW w:w="1274" w:type="pct"/>
            <w:gridSpan w:val="3"/>
            <w:tcBorders>
              <w:tl2br w:val="nil"/>
              <w:tr2bl w:val="nil"/>
            </w:tcBorders>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132" w:hRule="atLeast"/>
        </w:trPr>
        <w:tc>
          <w:tcPr>
            <w:tcW w:w="615" w:type="pct"/>
            <w:vMerge w:val="continue"/>
            <w:tcBorders>
              <w:tl2br w:val="nil"/>
              <w:tr2bl w:val="nil"/>
            </w:tcBorders>
            <w:shd w:val="clear" w:color="auto" w:fill="auto"/>
            <w:vAlign w:val="center"/>
          </w:tcPr>
          <w:p>
            <w:pPr>
              <w:pStyle w:val="76"/>
              <w:widowControl w:val="0"/>
            </w:pPr>
          </w:p>
        </w:tc>
        <w:tc>
          <w:tcPr>
            <w:tcW w:w="714" w:type="pct"/>
            <w:gridSpan w:val="2"/>
            <w:vMerge w:val="continue"/>
            <w:tcBorders>
              <w:tl2br w:val="nil"/>
              <w:tr2bl w:val="nil"/>
            </w:tcBorders>
            <w:shd w:val="clear" w:color="auto" w:fill="auto"/>
            <w:vAlign w:val="center"/>
          </w:tcPr>
          <w:p>
            <w:pPr>
              <w:pStyle w:val="76"/>
              <w:widowControl w:val="0"/>
            </w:pPr>
          </w:p>
        </w:tc>
        <w:tc>
          <w:tcPr>
            <w:tcW w:w="1109" w:type="pct"/>
            <w:gridSpan w:val="2"/>
            <w:vMerge w:val="continue"/>
            <w:tcBorders>
              <w:tl2br w:val="nil"/>
              <w:tr2bl w:val="nil"/>
            </w:tcBorders>
            <w:shd w:val="clear" w:color="auto" w:fill="auto"/>
            <w:vAlign w:val="center"/>
          </w:tcPr>
          <w:p>
            <w:pPr>
              <w:pStyle w:val="76"/>
              <w:widowControl w:val="0"/>
            </w:pPr>
          </w:p>
        </w:tc>
        <w:tc>
          <w:tcPr>
            <w:tcW w:w="1288" w:type="pct"/>
            <w:gridSpan w:val="5"/>
            <w:tcBorders>
              <w:tl2br w:val="nil"/>
              <w:tr2bl w:val="nil"/>
            </w:tcBorders>
            <w:shd w:val="clear" w:color="auto" w:fill="auto"/>
            <w:vAlign w:val="center"/>
          </w:tcPr>
          <w:p>
            <w:pPr>
              <w:pStyle w:val="76"/>
              <w:widowControl w:val="0"/>
            </w:pPr>
            <w:r>
              <w:t>证书</w:t>
            </w:r>
            <w:r>
              <w:rPr>
                <w:rFonts w:hint="eastAsia"/>
              </w:rPr>
              <w:t>号</w:t>
            </w:r>
          </w:p>
        </w:tc>
        <w:tc>
          <w:tcPr>
            <w:tcW w:w="1274" w:type="pct"/>
            <w:gridSpan w:val="3"/>
            <w:tcBorders>
              <w:tl2br w:val="nil"/>
              <w:tr2bl w:val="nil"/>
            </w:tcBorders>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60" w:hRule="atLeast"/>
        </w:trPr>
        <w:tc>
          <w:tcPr>
            <w:tcW w:w="615" w:type="pct"/>
            <w:vMerge w:val="continue"/>
            <w:tcBorders>
              <w:tl2br w:val="nil"/>
              <w:tr2bl w:val="nil"/>
            </w:tcBorders>
            <w:shd w:val="clear" w:color="auto" w:fill="auto"/>
            <w:vAlign w:val="center"/>
          </w:tcPr>
          <w:p>
            <w:pPr>
              <w:pStyle w:val="76"/>
              <w:widowControl w:val="0"/>
            </w:pPr>
          </w:p>
        </w:tc>
        <w:tc>
          <w:tcPr>
            <w:tcW w:w="714" w:type="pct"/>
            <w:gridSpan w:val="2"/>
            <w:vMerge w:val="continue"/>
            <w:tcBorders>
              <w:tl2br w:val="nil"/>
              <w:tr2bl w:val="nil"/>
            </w:tcBorders>
            <w:shd w:val="clear" w:color="auto" w:fill="auto"/>
            <w:vAlign w:val="center"/>
          </w:tcPr>
          <w:p>
            <w:pPr>
              <w:pStyle w:val="76"/>
              <w:widowControl w:val="0"/>
            </w:pPr>
          </w:p>
        </w:tc>
        <w:tc>
          <w:tcPr>
            <w:tcW w:w="1109" w:type="pct"/>
            <w:gridSpan w:val="2"/>
            <w:vMerge w:val="continue"/>
            <w:tcBorders>
              <w:tl2br w:val="nil"/>
              <w:tr2bl w:val="nil"/>
            </w:tcBorders>
            <w:shd w:val="clear" w:color="auto" w:fill="auto"/>
            <w:vAlign w:val="center"/>
          </w:tcPr>
          <w:p>
            <w:pPr>
              <w:pStyle w:val="76"/>
              <w:widowControl w:val="0"/>
            </w:pPr>
          </w:p>
        </w:tc>
        <w:tc>
          <w:tcPr>
            <w:tcW w:w="1288" w:type="pct"/>
            <w:gridSpan w:val="5"/>
            <w:tcBorders>
              <w:tl2br w:val="nil"/>
              <w:tr2bl w:val="nil"/>
            </w:tcBorders>
            <w:shd w:val="clear" w:color="auto" w:fill="auto"/>
            <w:vAlign w:val="center"/>
          </w:tcPr>
          <w:p>
            <w:pPr>
              <w:pStyle w:val="76"/>
              <w:widowControl w:val="0"/>
            </w:pPr>
            <w:r>
              <w:t>通信地址及联系电话</w:t>
            </w:r>
          </w:p>
        </w:tc>
        <w:tc>
          <w:tcPr>
            <w:tcW w:w="1274" w:type="pct"/>
            <w:gridSpan w:val="3"/>
            <w:tcBorders>
              <w:tl2br w:val="nil"/>
              <w:tr2bl w:val="nil"/>
            </w:tcBorders>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520" w:hRule="atLeast"/>
        </w:trPr>
        <w:tc>
          <w:tcPr>
            <w:tcW w:w="1329" w:type="pct"/>
            <w:gridSpan w:val="3"/>
            <w:tcBorders>
              <w:tl2br w:val="nil"/>
              <w:tr2bl w:val="nil"/>
            </w:tcBorders>
            <w:shd w:val="clear" w:color="auto" w:fill="auto"/>
            <w:vAlign w:val="center"/>
          </w:tcPr>
          <w:p>
            <w:pPr>
              <w:pStyle w:val="76"/>
              <w:widowControl w:val="0"/>
            </w:pPr>
            <w:r>
              <w:t>权利类型</w:t>
            </w:r>
          </w:p>
        </w:tc>
        <w:tc>
          <w:tcPr>
            <w:tcW w:w="1109" w:type="pct"/>
            <w:gridSpan w:val="2"/>
            <w:tcBorders>
              <w:tl2br w:val="nil"/>
              <w:tr2bl w:val="nil"/>
            </w:tcBorders>
            <w:shd w:val="clear" w:color="auto" w:fill="auto"/>
            <w:vAlign w:val="center"/>
          </w:tcPr>
          <w:p>
            <w:pPr>
              <w:pStyle w:val="76"/>
              <w:widowControl w:val="0"/>
            </w:pPr>
          </w:p>
        </w:tc>
        <w:tc>
          <w:tcPr>
            <w:tcW w:w="648" w:type="pct"/>
            <w:gridSpan w:val="2"/>
            <w:tcBorders>
              <w:tl2br w:val="nil"/>
              <w:tr2bl w:val="nil"/>
            </w:tcBorders>
            <w:shd w:val="clear" w:color="auto" w:fill="auto"/>
            <w:vAlign w:val="center"/>
          </w:tcPr>
          <w:p>
            <w:pPr>
              <w:pStyle w:val="76"/>
              <w:widowControl w:val="0"/>
            </w:pPr>
            <w:r>
              <w:rPr>
                <w:rFonts w:hint="eastAsia"/>
              </w:rPr>
              <w:t>权利性质</w:t>
            </w:r>
          </w:p>
        </w:tc>
        <w:tc>
          <w:tcPr>
            <w:tcW w:w="640" w:type="pct"/>
            <w:gridSpan w:val="3"/>
            <w:tcBorders>
              <w:tl2br w:val="nil"/>
              <w:tr2bl w:val="nil"/>
            </w:tcBorders>
            <w:shd w:val="clear" w:color="auto" w:fill="auto"/>
            <w:vAlign w:val="center"/>
          </w:tcPr>
          <w:p>
            <w:pPr>
              <w:pStyle w:val="76"/>
              <w:widowControl w:val="0"/>
            </w:pPr>
          </w:p>
        </w:tc>
        <w:tc>
          <w:tcPr>
            <w:tcW w:w="670" w:type="pct"/>
            <w:gridSpan w:val="2"/>
            <w:tcBorders>
              <w:tl2br w:val="nil"/>
              <w:tr2bl w:val="nil"/>
            </w:tcBorders>
            <w:shd w:val="clear" w:color="auto" w:fill="auto"/>
            <w:vAlign w:val="center"/>
          </w:tcPr>
          <w:p>
            <w:pPr>
              <w:pStyle w:val="76"/>
              <w:widowControl w:val="0"/>
            </w:pPr>
            <w:r>
              <w:t>土地权属来源证明材料</w:t>
            </w:r>
          </w:p>
        </w:tc>
        <w:tc>
          <w:tcPr>
            <w:tcW w:w="604" w:type="pct"/>
            <w:tcBorders>
              <w:tl2br w:val="nil"/>
              <w:tr2bl w:val="nil"/>
            </w:tcBorders>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316" w:hRule="atLeast"/>
        </w:trPr>
        <w:tc>
          <w:tcPr>
            <w:tcW w:w="1329" w:type="pct"/>
            <w:gridSpan w:val="3"/>
            <w:vMerge w:val="restart"/>
            <w:tcBorders>
              <w:tl2br w:val="nil"/>
              <w:tr2bl w:val="nil"/>
            </w:tcBorders>
            <w:shd w:val="clear" w:color="auto" w:fill="auto"/>
            <w:vAlign w:val="center"/>
          </w:tcPr>
          <w:p>
            <w:pPr>
              <w:pStyle w:val="76"/>
              <w:widowControl w:val="0"/>
            </w:pPr>
            <w:r>
              <w:t>法定代表人或负责</w:t>
            </w:r>
            <w:r>
              <w:rPr>
                <w:rFonts w:hint="eastAsia"/>
              </w:rPr>
              <w:t>人</w:t>
            </w:r>
            <w:r>
              <w:t>姓名</w:t>
            </w:r>
          </w:p>
        </w:tc>
        <w:tc>
          <w:tcPr>
            <w:tcW w:w="1109" w:type="pct"/>
            <w:gridSpan w:val="2"/>
            <w:vMerge w:val="restart"/>
            <w:tcBorders>
              <w:tl2br w:val="nil"/>
              <w:tr2bl w:val="nil"/>
            </w:tcBorders>
            <w:shd w:val="clear" w:color="auto" w:fill="auto"/>
            <w:vAlign w:val="center"/>
          </w:tcPr>
          <w:p>
            <w:pPr>
              <w:pStyle w:val="76"/>
              <w:widowControl w:val="0"/>
            </w:pPr>
          </w:p>
        </w:tc>
        <w:tc>
          <w:tcPr>
            <w:tcW w:w="648" w:type="pct"/>
            <w:gridSpan w:val="2"/>
            <w:tcBorders>
              <w:tl2br w:val="nil"/>
              <w:tr2bl w:val="nil"/>
            </w:tcBorders>
            <w:shd w:val="clear" w:color="auto" w:fill="auto"/>
            <w:vAlign w:val="center"/>
          </w:tcPr>
          <w:p>
            <w:pPr>
              <w:pStyle w:val="76"/>
              <w:widowControl w:val="0"/>
            </w:pPr>
            <w:r>
              <w:t>证书种类</w:t>
            </w:r>
          </w:p>
        </w:tc>
        <w:tc>
          <w:tcPr>
            <w:tcW w:w="640" w:type="pct"/>
            <w:gridSpan w:val="3"/>
            <w:tcBorders>
              <w:tl2br w:val="nil"/>
              <w:tr2bl w:val="nil"/>
            </w:tcBorders>
            <w:shd w:val="clear" w:color="auto" w:fill="auto"/>
            <w:vAlign w:val="center"/>
          </w:tcPr>
          <w:p>
            <w:pPr>
              <w:pStyle w:val="76"/>
              <w:widowControl w:val="0"/>
            </w:pPr>
          </w:p>
        </w:tc>
        <w:tc>
          <w:tcPr>
            <w:tcW w:w="670" w:type="pct"/>
            <w:gridSpan w:val="2"/>
            <w:vMerge w:val="restart"/>
            <w:tcBorders>
              <w:tl2br w:val="nil"/>
              <w:tr2bl w:val="nil"/>
            </w:tcBorders>
            <w:shd w:val="clear" w:color="auto" w:fill="auto"/>
            <w:vAlign w:val="center"/>
          </w:tcPr>
          <w:p>
            <w:pPr>
              <w:pStyle w:val="76"/>
              <w:widowControl w:val="0"/>
            </w:pPr>
            <w:r>
              <w:t>电话</w:t>
            </w:r>
          </w:p>
        </w:tc>
        <w:tc>
          <w:tcPr>
            <w:tcW w:w="604" w:type="pct"/>
            <w:vMerge w:val="restart"/>
            <w:tcBorders>
              <w:tl2br w:val="nil"/>
              <w:tr2bl w:val="nil"/>
            </w:tcBorders>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60" w:hRule="atLeast"/>
        </w:trPr>
        <w:tc>
          <w:tcPr>
            <w:tcW w:w="1329" w:type="pct"/>
            <w:gridSpan w:val="3"/>
            <w:vMerge w:val="continue"/>
            <w:tcBorders>
              <w:tl2br w:val="nil"/>
              <w:tr2bl w:val="nil"/>
            </w:tcBorders>
            <w:shd w:val="clear" w:color="auto" w:fill="auto"/>
            <w:vAlign w:val="center"/>
          </w:tcPr>
          <w:p>
            <w:pPr>
              <w:pStyle w:val="76"/>
              <w:widowControl w:val="0"/>
            </w:pPr>
          </w:p>
        </w:tc>
        <w:tc>
          <w:tcPr>
            <w:tcW w:w="1109" w:type="pct"/>
            <w:gridSpan w:val="2"/>
            <w:vMerge w:val="continue"/>
            <w:tcBorders>
              <w:tl2br w:val="nil"/>
              <w:tr2bl w:val="nil"/>
            </w:tcBorders>
            <w:shd w:val="clear" w:color="auto" w:fill="auto"/>
            <w:vAlign w:val="center"/>
          </w:tcPr>
          <w:p>
            <w:pPr>
              <w:pStyle w:val="76"/>
              <w:widowControl w:val="0"/>
            </w:pPr>
          </w:p>
        </w:tc>
        <w:tc>
          <w:tcPr>
            <w:tcW w:w="648" w:type="pct"/>
            <w:gridSpan w:val="2"/>
            <w:tcBorders>
              <w:tl2br w:val="nil"/>
              <w:tr2bl w:val="nil"/>
            </w:tcBorders>
            <w:shd w:val="clear" w:color="auto" w:fill="auto"/>
            <w:vAlign w:val="center"/>
          </w:tcPr>
          <w:p>
            <w:pPr>
              <w:pStyle w:val="76"/>
              <w:widowControl w:val="0"/>
            </w:pPr>
            <w:r>
              <w:t>证书</w:t>
            </w:r>
            <w:r>
              <w:rPr>
                <w:rFonts w:hint="eastAsia"/>
              </w:rPr>
              <w:t>号</w:t>
            </w:r>
          </w:p>
        </w:tc>
        <w:tc>
          <w:tcPr>
            <w:tcW w:w="640" w:type="pct"/>
            <w:gridSpan w:val="3"/>
            <w:tcBorders>
              <w:tl2br w:val="nil"/>
              <w:tr2bl w:val="nil"/>
            </w:tcBorders>
            <w:shd w:val="clear" w:color="auto" w:fill="auto"/>
            <w:vAlign w:val="center"/>
          </w:tcPr>
          <w:p>
            <w:pPr>
              <w:pStyle w:val="76"/>
              <w:widowControl w:val="0"/>
            </w:pPr>
          </w:p>
        </w:tc>
        <w:tc>
          <w:tcPr>
            <w:tcW w:w="670" w:type="pct"/>
            <w:gridSpan w:val="2"/>
            <w:vMerge w:val="continue"/>
            <w:tcBorders>
              <w:tl2br w:val="nil"/>
              <w:tr2bl w:val="nil"/>
            </w:tcBorders>
            <w:shd w:val="clear" w:color="auto" w:fill="auto"/>
            <w:vAlign w:val="center"/>
          </w:tcPr>
          <w:p>
            <w:pPr>
              <w:pStyle w:val="76"/>
              <w:widowControl w:val="0"/>
            </w:pPr>
          </w:p>
        </w:tc>
        <w:tc>
          <w:tcPr>
            <w:tcW w:w="604" w:type="pct"/>
            <w:vMerge w:val="continue"/>
            <w:tcBorders>
              <w:tl2br w:val="nil"/>
              <w:tr2bl w:val="nil"/>
            </w:tcBorders>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132" w:hRule="atLeast"/>
        </w:trPr>
        <w:tc>
          <w:tcPr>
            <w:tcW w:w="1329" w:type="pct"/>
            <w:gridSpan w:val="3"/>
            <w:vMerge w:val="restart"/>
            <w:tcBorders>
              <w:tl2br w:val="nil"/>
              <w:tr2bl w:val="nil"/>
            </w:tcBorders>
            <w:shd w:val="clear" w:color="auto" w:fill="auto"/>
            <w:vAlign w:val="center"/>
          </w:tcPr>
          <w:p>
            <w:pPr>
              <w:pStyle w:val="76"/>
              <w:widowControl w:val="0"/>
            </w:pPr>
            <w:r>
              <w:rPr>
                <w:rFonts w:hint="eastAsia"/>
              </w:rPr>
              <w:t>代理人姓名</w:t>
            </w:r>
          </w:p>
        </w:tc>
        <w:tc>
          <w:tcPr>
            <w:tcW w:w="1109" w:type="pct"/>
            <w:gridSpan w:val="2"/>
            <w:vMerge w:val="restart"/>
            <w:tcBorders>
              <w:tl2br w:val="nil"/>
              <w:tr2bl w:val="nil"/>
            </w:tcBorders>
            <w:shd w:val="clear" w:color="auto" w:fill="auto"/>
            <w:vAlign w:val="center"/>
          </w:tcPr>
          <w:p>
            <w:pPr>
              <w:pStyle w:val="76"/>
              <w:widowControl w:val="0"/>
            </w:pPr>
          </w:p>
        </w:tc>
        <w:tc>
          <w:tcPr>
            <w:tcW w:w="641" w:type="pct"/>
            <w:tcBorders>
              <w:tl2br w:val="nil"/>
              <w:tr2bl w:val="nil"/>
            </w:tcBorders>
            <w:shd w:val="clear" w:color="auto" w:fill="auto"/>
            <w:vAlign w:val="center"/>
          </w:tcPr>
          <w:p>
            <w:pPr>
              <w:pStyle w:val="76"/>
              <w:widowControl w:val="0"/>
            </w:pPr>
            <w:r>
              <w:t>证书种类</w:t>
            </w:r>
          </w:p>
        </w:tc>
        <w:tc>
          <w:tcPr>
            <w:tcW w:w="647" w:type="pct"/>
            <w:gridSpan w:val="4"/>
            <w:vMerge w:val="restart"/>
            <w:tcBorders>
              <w:tl2br w:val="nil"/>
              <w:tr2bl w:val="nil"/>
            </w:tcBorders>
            <w:shd w:val="clear" w:color="auto" w:fill="auto"/>
            <w:vAlign w:val="center"/>
          </w:tcPr>
          <w:p>
            <w:pPr>
              <w:pStyle w:val="76"/>
              <w:widowControl w:val="0"/>
            </w:pPr>
          </w:p>
        </w:tc>
        <w:tc>
          <w:tcPr>
            <w:tcW w:w="670" w:type="pct"/>
            <w:gridSpan w:val="2"/>
            <w:vMerge w:val="restart"/>
            <w:tcBorders>
              <w:tl2br w:val="nil"/>
              <w:tr2bl w:val="nil"/>
            </w:tcBorders>
            <w:shd w:val="clear" w:color="auto" w:fill="auto"/>
            <w:vAlign w:val="center"/>
          </w:tcPr>
          <w:p>
            <w:pPr>
              <w:pStyle w:val="76"/>
              <w:widowControl w:val="0"/>
            </w:pPr>
            <w:r>
              <w:t>电话</w:t>
            </w:r>
          </w:p>
        </w:tc>
        <w:tc>
          <w:tcPr>
            <w:tcW w:w="604" w:type="pct"/>
            <w:vMerge w:val="restart"/>
            <w:tcBorders>
              <w:tl2br w:val="nil"/>
              <w:tr2bl w:val="nil"/>
            </w:tcBorders>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131" w:hRule="atLeast"/>
        </w:trPr>
        <w:tc>
          <w:tcPr>
            <w:tcW w:w="1329" w:type="pct"/>
            <w:gridSpan w:val="3"/>
            <w:vMerge w:val="continue"/>
            <w:tcBorders>
              <w:tl2br w:val="nil"/>
              <w:tr2bl w:val="nil"/>
            </w:tcBorders>
            <w:shd w:val="clear" w:color="auto" w:fill="auto"/>
            <w:vAlign w:val="center"/>
          </w:tcPr>
          <w:p>
            <w:pPr>
              <w:pStyle w:val="76"/>
              <w:widowControl w:val="0"/>
            </w:pPr>
          </w:p>
        </w:tc>
        <w:tc>
          <w:tcPr>
            <w:tcW w:w="1109" w:type="pct"/>
            <w:gridSpan w:val="2"/>
            <w:vMerge w:val="continue"/>
            <w:tcBorders>
              <w:tl2br w:val="nil"/>
              <w:tr2bl w:val="nil"/>
            </w:tcBorders>
            <w:shd w:val="clear" w:color="auto" w:fill="auto"/>
            <w:vAlign w:val="center"/>
          </w:tcPr>
          <w:p>
            <w:pPr>
              <w:pStyle w:val="76"/>
              <w:widowControl w:val="0"/>
            </w:pPr>
          </w:p>
        </w:tc>
        <w:tc>
          <w:tcPr>
            <w:tcW w:w="641" w:type="pct"/>
            <w:tcBorders>
              <w:tl2br w:val="nil"/>
              <w:tr2bl w:val="nil"/>
            </w:tcBorders>
            <w:shd w:val="clear" w:color="auto" w:fill="auto"/>
            <w:vAlign w:val="center"/>
          </w:tcPr>
          <w:p>
            <w:pPr>
              <w:pStyle w:val="76"/>
              <w:widowControl w:val="0"/>
            </w:pPr>
            <w:r>
              <w:t>证书</w:t>
            </w:r>
            <w:r>
              <w:rPr>
                <w:rFonts w:hint="eastAsia"/>
              </w:rPr>
              <w:t>号</w:t>
            </w:r>
          </w:p>
        </w:tc>
        <w:tc>
          <w:tcPr>
            <w:tcW w:w="647" w:type="pct"/>
            <w:gridSpan w:val="4"/>
            <w:vMerge w:val="continue"/>
            <w:tcBorders>
              <w:tl2br w:val="nil"/>
              <w:tr2bl w:val="nil"/>
            </w:tcBorders>
            <w:shd w:val="clear" w:color="auto" w:fill="auto"/>
            <w:vAlign w:val="center"/>
          </w:tcPr>
          <w:p>
            <w:pPr>
              <w:pStyle w:val="76"/>
              <w:widowControl w:val="0"/>
            </w:pPr>
          </w:p>
        </w:tc>
        <w:tc>
          <w:tcPr>
            <w:tcW w:w="670" w:type="pct"/>
            <w:gridSpan w:val="2"/>
            <w:vMerge w:val="continue"/>
            <w:tcBorders>
              <w:tl2br w:val="nil"/>
              <w:tr2bl w:val="nil"/>
            </w:tcBorders>
            <w:shd w:val="clear" w:color="auto" w:fill="auto"/>
            <w:vAlign w:val="center"/>
          </w:tcPr>
          <w:p>
            <w:pPr>
              <w:pStyle w:val="76"/>
              <w:widowControl w:val="0"/>
            </w:pPr>
          </w:p>
        </w:tc>
        <w:tc>
          <w:tcPr>
            <w:tcW w:w="604" w:type="pct"/>
            <w:vMerge w:val="continue"/>
            <w:tcBorders>
              <w:tl2br w:val="nil"/>
              <w:tr2bl w:val="nil"/>
            </w:tcBorders>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c>
          <w:tcPr>
            <w:tcW w:w="1329" w:type="pct"/>
            <w:gridSpan w:val="3"/>
            <w:vMerge w:val="restart"/>
            <w:tcBorders>
              <w:tl2br w:val="nil"/>
              <w:tr2bl w:val="nil"/>
            </w:tcBorders>
            <w:shd w:val="clear" w:color="auto" w:fill="auto"/>
            <w:vAlign w:val="center"/>
          </w:tcPr>
          <w:p>
            <w:pPr>
              <w:pStyle w:val="76"/>
              <w:widowControl w:val="0"/>
            </w:pPr>
            <w:r>
              <w:rPr>
                <w:rFonts w:hint="eastAsia"/>
              </w:rPr>
              <w:t>开发主体</w:t>
            </w:r>
          </w:p>
        </w:tc>
        <w:tc>
          <w:tcPr>
            <w:tcW w:w="1109" w:type="pct"/>
            <w:gridSpan w:val="2"/>
            <w:tcBorders>
              <w:tl2br w:val="nil"/>
              <w:tr2bl w:val="nil"/>
            </w:tcBorders>
            <w:shd w:val="clear" w:color="auto" w:fill="auto"/>
            <w:vAlign w:val="center"/>
          </w:tcPr>
          <w:p>
            <w:pPr>
              <w:pStyle w:val="76"/>
              <w:widowControl w:val="0"/>
            </w:pPr>
            <w:r>
              <w:rPr>
                <w:rFonts w:hint="eastAsia"/>
              </w:rPr>
              <w:t>名称（姓名）</w:t>
            </w:r>
          </w:p>
        </w:tc>
        <w:tc>
          <w:tcPr>
            <w:tcW w:w="2562" w:type="pct"/>
            <w:gridSpan w:val="8"/>
            <w:tcBorders>
              <w:tl2br w:val="nil"/>
              <w:tr2bl w:val="nil"/>
            </w:tcBorders>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c>
          <w:tcPr>
            <w:tcW w:w="1329" w:type="pct"/>
            <w:gridSpan w:val="3"/>
            <w:vMerge w:val="continue"/>
            <w:tcBorders>
              <w:tl2br w:val="nil"/>
              <w:tr2bl w:val="nil"/>
            </w:tcBorders>
            <w:shd w:val="clear" w:color="auto" w:fill="auto"/>
            <w:vAlign w:val="center"/>
          </w:tcPr>
          <w:p>
            <w:pPr>
              <w:pStyle w:val="76"/>
              <w:widowControl w:val="0"/>
            </w:pPr>
          </w:p>
        </w:tc>
        <w:tc>
          <w:tcPr>
            <w:tcW w:w="1109" w:type="pct"/>
            <w:gridSpan w:val="2"/>
            <w:tcBorders>
              <w:tl2br w:val="nil"/>
              <w:tr2bl w:val="nil"/>
            </w:tcBorders>
            <w:shd w:val="clear" w:color="auto" w:fill="auto"/>
            <w:vAlign w:val="center"/>
          </w:tcPr>
          <w:p>
            <w:pPr>
              <w:pStyle w:val="76"/>
              <w:widowControl w:val="0"/>
            </w:pPr>
            <w:r>
              <w:rPr>
                <w:rFonts w:hint="eastAsia"/>
              </w:rPr>
              <w:t>单位性质</w:t>
            </w:r>
          </w:p>
        </w:tc>
        <w:tc>
          <w:tcPr>
            <w:tcW w:w="2562" w:type="pct"/>
            <w:gridSpan w:val="8"/>
            <w:tcBorders>
              <w:tl2br w:val="nil"/>
              <w:tr2bl w:val="nil"/>
            </w:tcBorders>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c>
          <w:tcPr>
            <w:tcW w:w="615" w:type="pct"/>
            <w:vMerge w:val="restart"/>
            <w:tcBorders>
              <w:tl2br w:val="nil"/>
              <w:tr2bl w:val="nil"/>
            </w:tcBorders>
            <w:shd w:val="clear" w:color="auto" w:fill="auto"/>
            <w:vAlign w:val="center"/>
          </w:tcPr>
          <w:p>
            <w:pPr>
              <w:pStyle w:val="76"/>
              <w:widowControl w:val="0"/>
            </w:pPr>
            <w:r>
              <w:rPr>
                <w:rFonts w:hint="eastAsia"/>
              </w:rPr>
              <w:t>基本情况</w:t>
            </w:r>
          </w:p>
        </w:tc>
        <w:tc>
          <w:tcPr>
            <w:tcW w:w="1823" w:type="pct"/>
            <w:gridSpan w:val="4"/>
            <w:tcBorders>
              <w:tl2br w:val="nil"/>
              <w:tr2bl w:val="nil"/>
            </w:tcBorders>
            <w:shd w:val="clear" w:color="auto" w:fill="auto"/>
            <w:vAlign w:val="center"/>
          </w:tcPr>
          <w:p>
            <w:pPr>
              <w:pStyle w:val="76"/>
              <w:widowControl w:val="0"/>
            </w:pPr>
            <w:r>
              <w:rPr>
                <w:rFonts w:hint="eastAsia"/>
              </w:rPr>
              <w:t>地下空间坐落</w:t>
            </w:r>
          </w:p>
        </w:tc>
        <w:tc>
          <w:tcPr>
            <w:tcW w:w="2562" w:type="pct"/>
            <w:gridSpan w:val="8"/>
            <w:tcBorders>
              <w:tl2br w:val="nil"/>
              <w:tr2bl w:val="nil"/>
            </w:tcBorders>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476" w:hRule="atLeast"/>
        </w:trPr>
        <w:tc>
          <w:tcPr>
            <w:tcW w:w="615" w:type="pct"/>
            <w:vMerge w:val="continue"/>
            <w:tcBorders>
              <w:tl2br w:val="nil"/>
              <w:tr2bl w:val="nil"/>
            </w:tcBorders>
            <w:shd w:val="clear" w:color="auto" w:fill="auto"/>
            <w:vAlign w:val="center"/>
          </w:tcPr>
          <w:p>
            <w:pPr>
              <w:pStyle w:val="76"/>
              <w:widowControl w:val="0"/>
            </w:pPr>
          </w:p>
        </w:tc>
        <w:tc>
          <w:tcPr>
            <w:tcW w:w="1823" w:type="pct"/>
            <w:gridSpan w:val="4"/>
            <w:tcBorders>
              <w:tl2br w:val="nil"/>
              <w:tr2bl w:val="nil"/>
            </w:tcBorders>
            <w:shd w:val="clear" w:color="auto" w:fill="auto"/>
            <w:vAlign w:val="center"/>
          </w:tcPr>
          <w:p>
            <w:pPr>
              <w:pStyle w:val="76"/>
              <w:widowControl w:val="0"/>
            </w:pPr>
            <w:r>
              <w:rPr>
                <w:rFonts w:hint="eastAsia"/>
              </w:rPr>
              <w:t>起始高程</w:t>
            </w:r>
          </w:p>
        </w:tc>
        <w:tc>
          <w:tcPr>
            <w:tcW w:w="1167" w:type="pct"/>
            <w:gridSpan w:val="4"/>
            <w:tcBorders>
              <w:tl2br w:val="nil"/>
              <w:tr2bl w:val="nil"/>
            </w:tcBorders>
            <w:shd w:val="clear" w:color="auto" w:fill="auto"/>
            <w:vAlign w:val="center"/>
          </w:tcPr>
          <w:p>
            <w:pPr>
              <w:pStyle w:val="76"/>
              <w:widowControl w:val="0"/>
            </w:pPr>
            <w:r>
              <w:rPr>
                <w:rFonts w:hint="eastAsia"/>
              </w:rPr>
              <w:t xml:space="preserve">          </w:t>
            </w:r>
            <w:r>
              <w:rPr>
                <w:rFonts w:hint="eastAsia"/>
                <w:lang w:eastAsia="zh-CN"/>
              </w:rPr>
              <w:t>(</w:t>
            </w:r>
            <w:r>
              <w:rPr>
                <w:rFonts w:hint="eastAsia"/>
              </w:rPr>
              <w:t>m</w:t>
            </w:r>
            <w:r>
              <w:rPr>
                <w:rFonts w:hint="eastAsia"/>
                <w:lang w:eastAsia="zh-CN"/>
              </w:rPr>
              <w:t>)</w:t>
            </w:r>
          </w:p>
        </w:tc>
        <w:tc>
          <w:tcPr>
            <w:tcW w:w="708" w:type="pct"/>
            <w:gridSpan w:val="2"/>
            <w:tcBorders>
              <w:tl2br w:val="nil"/>
              <w:tr2bl w:val="nil"/>
            </w:tcBorders>
            <w:shd w:val="clear" w:color="auto" w:fill="auto"/>
            <w:vAlign w:val="center"/>
          </w:tcPr>
          <w:p>
            <w:pPr>
              <w:pStyle w:val="76"/>
              <w:widowControl w:val="0"/>
            </w:pPr>
            <w:r>
              <w:rPr>
                <w:rFonts w:hint="eastAsia"/>
              </w:rPr>
              <w:t>终止高程</w:t>
            </w:r>
          </w:p>
        </w:tc>
        <w:tc>
          <w:tcPr>
            <w:tcW w:w="687" w:type="pct"/>
            <w:gridSpan w:val="2"/>
            <w:tcBorders>
              <w:tl2br w:val="nil"/>
              <w:tr2bl w:val="nil"/>
            </w:tcBorders>
            <w:shd w:val="clear" w:color="auto" w:fill="auto"/>
            <w:vAlign w:val="center"/>
          </w:tcPr>
          <w:p>
            <w:pPr>
              <w:pStyle w:val="76"/>
              <w:widowControl w:val="0"/>
            </w:pPr>
            <w:r>
              <w:rPr>
                <w:rFonts w:hint="eastAsia"/>
              </w:rPr>
              <w:t xml:space="preserve">             </w:t>
            </w:r>
            <w:r>
              <w:rPr>
                <w:rFonts w:hint="eastAsia"/>
                <w:lang w:eastAsia="zh-CN"/>
              </w:rPr>
              <w:t>(</w:t>
            </w:r>
            <w:r>
              <w:rPr>
                <w:rFonts w:hint="eastAsia"/>
              </w:rPr>
              <w:t>m</w:t>
            </w:r>
            <w:r>
              <w:rPr>
                <w:rFonts w:hint="eastAsia"/>
                <w:lang w:eastAsia="zh-CN"/>
              </w:rPr>
              <w:t>)</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c>
          <w:tcPr>
            <w:tcW w:w="615" w:type="pct"/>
            <w:vMerge w:val="continue"/>
            <w:tcBorders>
              <w:tl2br w:val="nil"/>
              <w:tr2bl w:val="nil"/>
            </w:tcBorders>
            <w:shd w:val="clear" w:color="auto" w:fill="auto"/>
            <w:vAlign w:val="center"/>
          </w:tcPr>
          <w:p>
            <w:pPr>
              <w:pStyle w:val="76"/>
              <w:widowControl w:val="0"/>
            </w:pPr>
          </w:p>
        </w:tc>
        <w:tc>
          <w:tcPr>
            <w:tcW w:w="1316" w:type="pct"/>
            <w:gridSpan w:val="3"/>
            <w:vMerge w:val="restart"/>
            <w:tcBorders>
              <w:tl2br w:val="nil"/>
              <w:tr2bl w:val="nil"/>
            </w:tcBorders>
            <w:shd w:val="clear" w:color="auto" w:fill="auto"/>
            <w:vAlign w:val="center"/>
          </w:tcPr>
          <w:p>
            <w:pPr>
              <w:pStyle w:val="76"/>
              <w:widowControl w:val="0"/>
            </w:pPr>
            <w:r>
              <w:rPr>
                <w:rFonts w:hint="eastAsia"/>
              </w:rPr>
              <w:t>宗地六至</w:t>
            </w:r>
          </w:p>
        </w:tc>
        <w:tc>
          <w:tcPr>
            <w:tcW w:w="507" w:type="pct"/>
            <w:tcBorders>
              <w:tl2br w:val="nil"/>
              <w:tr2bl w:val="nil"/>
            </w:tcBorders>
            <w:shd w:val="clear" w:color="auto" w:fill="auto"/>
            <w:vAlign w:val="center"/>
          </w:tcPr>
          <w:p>
            <w:pPr>
              <w:pStyle w:val="76"/>
              <w:widowControl w:val="0"/>
            </w:pPr>
            <w:r>
              <w:rPr>
                <w:rFonts w:hint="eastAsia"/>
              </w:rPr>
              <w:t>北</w:t>
            </w:r>
          </w:p>
        </w:tc>
        <w:tc>
          <w:tcPr>
            <w:tcW w:w="2562" w:type="pct"/>
            <w:gridSpan w:val="8"/>
            <w:tcBorders>
              <w:tl2br w:val="nil"/>
              <w:tr2bl w:val="nil"/>
            </w:tcBorders>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c>
          <w:tcPr>
            <w:tcW w:w="615" w:type="pct"/>
            <w:vMerge w:val="continue"/>
            <w:tcBorders>
              <w:tl2br w:val="nil"/>
              <w:tr2bl w:val="nil"/>
            </w:tcBorders>
            <w:shd w:val="clear" w:color="auto" w:fill="auto"/>
            <w:vAlign w:val="center"/>
          </w:tcPr>
          <w:p>
            <w:pPr>
              <w:pStyle w:val="76"/>
              <w:widowControl w:val="0"/>
            </w:pPr>
          </w:p>
        </w:tc>
        <w:tc>
          <w:tcPr>
            <w:tcW w:w="1316" w:type="pct"/>
            <w:gridSpan w:val="3"/>
            <w:vMerge w:val="continue"/>
            <w:tcBorders>
              <w:tl2br w:val="nil"/>
              <w:tr2bl w:val="nil"/>
            </w:tcBorders>
            <w:shd w:val="clear" w:color="auto" w:fill="auto"/>
            <w:vAlign w:val="center"/>
          </w:tcPr>
          <w:p>
            <w:pPr>
              <w:pStyle w:val="76"/>
              <w:widowControl w:val="0"/>
            </w:pPr>
          </w:p>
        </w:tc>
        <w:tc>
          <w:tcPr>
            <w:tcW w:w="507" w:type="pct"/>
            <w:tcBorders>
              <w:tl2br w:val="nil"/>
              <w:tr2bl w:val="nil"/>
            </w:tcBorders>
            <w:shd w:val="clear" w:color="auto" w:fill="auto"/>
            <w:vAlign w:val="center"/>
          </w:tcPr>
          <w:p>
            <w:pPr>
              <w:pStyle w:val="76"/>
              <w:widowControl w:val="0"/>
            </w:pPr>
            <w:r>
              <w:rPr>
                <w:rFonts w:hint="eastAsia"/>
              </w:rPr>
              <w:t>东</w:t>
            </w:r>
          </w:p>
        </w:tc>
        <w:tc>
          <w:tcPr>
            <w:tcW w:w="2562" w:type="pct"/>
            <w:gridSpan w:val="8"/>
            <w:tcBorders>
              <w:tl2br w:val="nil"/>
              <w:tr2bl w:val="nil"/>
            </w:tcBorders>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c>
          <w:tcPr>
            <w:tcW w:w="615" w:type="pct"/>
            <w:vMerge w:val="continue"/>
            <w:tcBorders>
              <w:tl2br w:val="nil"/>
              <w:tr2bl w:val="nil"/>
            </w:tcBorders>
            <w:shd w:val="clear" w:color="auto" w:fill="auto"/>
            <w:vAlign w:val="center"/>
          </w:tcPr>
          <w:p>
            <w:pPr>
              <w:pStyle w:val="76"/>
              <w:widowControl w:val="0"/>
            </w:pPr>
          </w:p>
        </w:tc>
        <w:tc>
          <w:tcPr>
            <w:tcW w:w="1316" w:type="pct"/>
            <w:gridSpan w:val="3"/>
            <w:vMerge w:val="continue"/>
            <w:tcBorders>
              <w:tl2br w:val="nil"/>
              <w:tr2bl w:val="nil"/>
            </w:tcBorders>
            <w:shd w:val="clear" w:color="auto" w:fill="auto"/>
            <w:vAlign w:val="center"/>
          </w:tcPr>
          <w:p>
            <w:pPr>
              <w:pStyle w:val="76"/>
              <w:widowControl w:val="0"/>
            </w:pPr>
          </w:p>
        </w:tc>
        <w:tc>
          <w:tcPr>
            <w:tcW w:w="507" w:type="pct"/>
            <w:tcBorders>
              <w:tl2br w:val="nil"/>
              <w:tr2bl w:val="nil"/>
            </w:tcBorders>
            <w:shd w:val="clear" w:color="auto" w:fill="auto"/>
            <w:vAlign w:val="center"/>
          </w:tcPr>
          <w:p>
            <w:pPr>
              <w:pStyle w:val="76"/>
              <w:widowControl w:val="0"/>
            </w:pPr>
            <w:r>
              <w:rPr>
                <w:rFonts w:hint="eastAsia"/>
              </w:rPr>
              <w:t>南</w:t>
            </w:r>
          </w:p>
        </w:tc>
        <w:tc>
          <w:tcPr>
            <w:tcW w:w="2562" w:type="pct"/>
            <w:gridSpan w:val="8"/>
            <w:tcBorders>
              <w:tl2br w:val="nil"/>
              <w:tr2bl w:val="nil"/>
            </w:tcBorders>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c>
          <w:tcPr>
            <w:tcW w:w="615" w:type="pct"/>
            <w:vMerge w:val="continue"/>
            <w:tcBorders>
              <w:tl2br w:val="nil"/>
              <w:tr2bl w:val="nil"/>
            </w:tcBorders>
            <w:shd w:val="clear" w:color="auto" w:fill="auto"/>
            <w:vAlign w:val="center"/>
          </w:tcPr>
          <w:p>
            <w:pPr>
              <w:pStyle w:val="76"/>
              <w:widowControl w:val="0"/>
            </w:pPr>
          </w:p>
        </w:tc>
        <w:tc>
          <w:tcPr>
            <w:tcW w:w="1316" w:type="pct"/>
            <w:gridSpan w:val="3"/>
            <w:vMerge w:val="continue"/>
            <w:tcBorders>
              <w:tl2br w:val="nil"/>
              <w:tr2bl w:val="nil"/>
            </w:tcBorders>
            <w:shd w:val="clear" w:color="auto" w:fill="auto"/>
            <w:vAlign w:val="center"/>
          </w:tcPr>
          <w:p>
            <w:pPr>
              <w:pStyle w:val="76"/>
              <w:widowControl w:val="0"/>
            </w:pPr>
          </w:p>
        </w:tc>
        <w:tc>
          <w:tcPr>
            <w:tcW w:w="507" w:type="pct"/>
            <w:tcBorders>
              <w:tl2br w:val="nil"/>
              <w:tr2bl w:val="nil"/>
            </w:tcBorders>
            <w:shd w:val="clear" w:color="auto" w:fill="auto"/>
            <w:vAlign w:val="center"/>
          </w:tcPr>
          <w:p>
            <w:pPr>
              <w:pStyle w:val="76"/>
              <w:widowControl w:val="0"/>
            </w:pPr>
            <w:r>
              <w:rPr>
                <w:rFonts w:hint="eastAsia"/>
              </w:rPr>
              <w:t>西</w:t>
            </w:r>
          </w:p>
        </w:tc>
        <w:tc>
          <w:tcPr>
            <w:tcW w:w="2562" w:type="pct"/>
            <w:gridSpan w:val="8"/>
            <w:tcBorders>
              <w:tl2br w:val="nil"/>
              <w:tr2bl w:val="nil"/>
            </w:tcBorders>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c>
          <w:tcPr>
            <w:tcW w:w="615" w:type="pct"/>
            <w:vMerge w:val="continue"/>
            <w:tcBorders>
              <w:tl2br w:val="nil"/>
              <w:tr2bl w:val="nil"/>
            </w:tcBorders>
            <w:shd w:val="clear" w:color="auto" w:fill="auto"/>
            <w:vAlign w:val="center"/>
          </w:tcPr>
          <w:p>
            <w:pPr>
              <w:pStyle w:val="76"/>
              <w:widowControl w:val="0"/>
            </w:pPr>
          </w:p>
        </w:tc>
        <w:tc>
          <w:tcPr>
            <w:tcW w:w="1316" w:type="pct"/>
            <w:gridSpan w:val="3"/>
            <w:vMerge w:val="continue"/>
            <w:tcBorders>
              <w:tl2br w:val="nil"/>
              <w:tr2bl w:val="nil"/>
            </w:tcBorders>
            <w:shd w:val="clear" w:color="auto" w:fill="auto"/>
            <w:vAlign w:val="center"/>
          </w:tcPr>
          <w:p>
            <w:pPr>
              <w:pStyle w:val="76"/>
              <w:widowControl w:val="0"/>
            </w:pPr>
          </w:p>
        </w:tc>
        <w:tc>
          <w:tcPr>
            <w:tcW w:w="507" w:type="pct"/>
            <w:tcBorders>
              <w:tl2br w:val="nil"/>
              <w:tr2bl w:val="nil"/>
            </w:tcBorders>
            <w:shd w:val="clear" w:color="auto" w:fill="auto"/>
            <w:vAlign w:val="center"/>
          </w:tcPr>
          <w:p>
            <w:pPr>
              <w:pStyle w:val="76"/>
              <w:widowControl w:val="0"/>
            </w:pPr>
            <w:r>
              <w:rPr>
                <w:rFonts w:hint="eastAsia"/>
              </w:rPr>
              <w:t>上</w:t>
            </w:r>
          </w:p>
        </w:tc>
        <w:tc>
          <w:tcPr>
            <w:tcW w:w="2562" w:type="pct"/>
            <w:gridSpan w:val="8"/>
            <w:tcBorders>
              <w:tl2br w:val="nil"/>
              <w:tr2bl w:val="nil"/>
            </w:tcBorders>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c>
          <w:tcPr>
            <w:tcW w:w="615" w:type="pct"/>
            <w:vMerge w:val="continue"/>
            <w:tcBorders>
              <w:tl2br w:val="nil"/>
              <w:tr2bl w:val="nil"/>
            </w:tcBorders>
            <w:shd w:val="clear" w:color="auto" w:fill="auto"/>
            <w:vAlign w:val="center"/>
          </w:tcPr>
          <w:p>
            <w:pPr>
              <w:pStyle w:val="76"/>
              <w:widowControl w:val="0"/>
            </w:pPr>
          </w:p>
        </w:tc>
        <w:tc>
          <w:tcPr>
            <w:tcW w:w="1316" w:type="pct"/>
            <w:gridSpan w:val="3"/>
            <w:vMerge w:val="continue"/>
            <w:tcBorders>
              <w:tl2br w:val="nil"/>
              <w:tr2bl w:val="nil"/>
            </w:tcBorders>
            <w:shd w:val="clear" w:color="auto" w:fill="auto"/>
            <w:vAlign w:val="center"/>
          </w:tcPr>
          <w:p>
            <w:pPr>
              <w:pStyle w:val="76"/>
              <w:widowControl w:val="0"/>
            </w:pPr>
          </w:p>
        </w:tc>
        <w:tc>
          <w:tcPr>
            <w:tcW w:w="507" w:type="pct"/>
            <w:tcBorders>
              <w:tl2br w:val="nil"/>
              <w:tr2bl w:val="nil"/>
            </w:tcBorders>
            <w:shd w:val="clear" w:color="auto" w:fill="auto"/>
            <w:vAlign w:val="center"/>
          </w:tcPr>
          <w:p>
            <w:pPr>
              <w:pStyle w:val="76"/>
              <w:widowControl w:val="0"/>
            </w:pPr>
            <w:r>
              <w:rPr>
                <w:rFonts w:hint="eastAsia"/>
              </w:rPr>
              <w:t>下</w:t>
            </w:r>
          </w:p>
        </w:tc>
        <w:tc>
          <w:tcPr>
            <w:tcW w:w="2562" w:type="pct"/>
            <w:gridSpan w:val="8"/>
            <w:tcBorders>
              <w:tl2br w:val="nil"/>
              <w:tr2bl w:val="nil"/>
            </w:tcBorders>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c>
          <w:tcPr>
            <w:tcW w:w="615" w:type="pct"/>
            <w:vMerge w:val="continue"/>
            <w:tcBorders>
              <w:tl2br w:val="nil"/>
              <w:tr2bl w:val="nil"/>
            </w:tcBorders>
            <w:shd w:val="clear" w:color="auto" w:fill="auto"/>
            <w:vAlign w:val="center"/>
          </w:tcPr>
          <w:p>
            <w:pPr>
              <w:pStyle w:val="76"/>
              <w:widowControl w:val="0"/>
            </w:pPr>
          </w:p>
        </w:tc>
        <w:tc>
          <w:tcPr>
            <w:tcW w:w="1823" w:type="pct"/>
            <w:gridSpan w:val="4"/>
            <w:tcBorders>
              <w:tl2br w:val="nil"/>
              <w:tr2bl w:val="nil"/>
            </w:tcBorders>
            <w:shd w:val="clear" w:color="auto" w:fill="auto"/>
            <w:vAlign w:val="center"/>
          </w:tcPr>
          <w:p>
            <w:pPr>
              <w:pStyle w:val="76"/>
              <w:widowControl w:val="0"/>
            </w:pPr>
            <w:r>
              <w:rPr>
                <w:rFonts w:hint="eastAsia"/>
              </w:rPr>
              <w:t>地下宗地面积</w:t>
            </w:r>
          </w:p>
        </w:tc>
        <w:tc>
          <w:tcPr>
            <w:tcW w:w="2562" w:type="pct"/>
            <w:gridSpan w:val="8"/>
            <w:tcBorders>
              <w:tl2br w:val="nil"/>
              <w:tr2bl w:val="nil"/>
            </w:tcBorders>
            <w:shd w:val="clear" w:color="auto" w:fill="auto"/>
            <w:vAlign w:val="center"/>
          </w:tcPr>
          <w:p>
            <w:pPr>
              <w:pStyle w:val="76"/>
              <w:widowControl w:val="0"/>
            </w:pPr>
            <w:r>
              <w:rPr>
                <w:rFonts w:hint="eastAsia"/>
              </w:rPr>
              <w:t xml:space="preserve">           </w:t>
            </w:r>
            <w:r>
              <w:rPr>
                <w:rFonts w:hint="eastAsia"/>
                <w:lang w:eastAsia="zh-CN"/>
              </w:rPr>
              <w:t>(</w:t>
            </w:r>
            <w:r>
              <w:rPr>
                <w:rFonts w:hint="eastAsia"/>
              </w:rPr>
              <w:t>m</w:t>
            </w:r>
            <w:r>
              <w:rPr>
                <w:rFonts w:hint="eastAsia"/>
                <w:vertAlign w:val="superscript"/>
              </w:rPr>
              <w:t>3</w:t>
            </w:r>
            <w:r>
              <w:rPr>
                <w:rFonts w:hint="eastAsia"/>
                <w:vertAlign w:val="superscript"/>
                <w:lang w:eastAsia="zh-CN"/>
              </w:rPr>
              <w:t>)</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c>
          <w:tcPr>
            <w:tcW w:w="615" w:type="pct"/>
            <w:vMerge w:val="continue"/>
            <w:tcBorders>
              <w:tl2br w:val="nil"/>
              <w:tr2bl w:val="nil"/>
            </w:tcBorders>
            <w:shd w:val="clear" w:color="auto" w:fill="auto"/>
            <w:vAlign w:val="center"/>
          </w:tcPr>
          <w:p>
            <w:pPr>
              <w:pStyle w:val="76"/>
              <w:widowControl w:val="0"/>
            </w:pPr>
          </w:p>
        </w:tc>
        <w:tc>
          <w:tcPr>
            <w:tcW w:w="1823" w:type="pct"/>
            <w:gridSpan w:val="4"/>
            <w:tcBorders>
              <w:tl2br w:val="nil"/>
              <w:tr2bl w:val="nil"/>
            </w:tcBorders>
            <w:shd w:val="clear" w:color="auto" w:fill="auto"/>
            <w:vAlign w:val="center"/>
          </w:tcPr>
          <w:p>
            <w:pPr>
              <w:pStyle w:val="76"/>
              <w:widowControl w:val="0"/>
            </w:pPr>
            <w:r>
              <w:rPr>
                <w:rFonts w:hint="eastAsia"/>
              </w:rPr>
              <w:t>外围护墙厚度</w:t>
            </w:r>
          </w:p>
        </w:tc>
        <w:tc>
          <w:tcPr>
            <w:tcW w:w="2562" w:type="pct"/>
            <w:gridSpan w:val="8"/>
            <w:tcBorders>
              <w:tl2br w:val="nil"/>
              <w:tr2bl w:val="nil"/>
            </w:tcBorders>
            <w:shd w:val="clear" w:color="auto" w:fill="auto"/>
            <w:vAlign w:val="center"/>
          </w:tcPr>
          <w:p>
            <w:pPr>
              <w:pStyle w:val="76"/>
              <w:widowControl w:val="0"/>
            </w:pPr>
            <w:r>
              <w:rPr>
                <w:rFonts w:hint="eastAsia"/>
              </w:rPr>
              <w:t xml:space="preserve">           </w:t>
            </w:r>
            <w:r>
              <w:rPr>
                <w:rFonts w:hint="eastAsia"/>
                <w:lang w:eastAsia="zh-CN"/>
              </w:rPr>
              <w:t>(</w:t>
            </w:r>
            <w:r>
              <w:rPr>
                <w:rFonts w:hint="eastAsia"/>
              </w:rPr>
              <w:t>m</w:t>
            </w:r>
            <w:r>
              <w:rPr>
                <w:rFonts w:hint="eastAsia"/>
                <w:lang w:eastAsia="zh-CN"/>
              </w:rPr>
              <w:t>)</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c>
          <w:tcPr>
            <w:tcW w:w="615" w:type="pct"/>
            <w:vMerge w:val="continue"/>
            <w:tcBorders>
              <w:tl2br w:val="nil"/>
              <w:tr2bl w:val="nil"/>
            </w:tcBorders>
            <w:shd w:val="clear" w:color="auto" w:fill="auto"/>
            <w:vAlign w:val="center"/>
          </w:tcPr>
          <w:p>
            <w:pPr>
              <w:pStyle w:val="76"/>
              <w:widowControl w:val="0"/>
            </w:pPr>
          </w:p>
        </w:tc>
        <w:tc>
          <w:tcPr>
            <w:tcW w:w="679" w:type="pct"/>
            <w:vMerge w:val="restart"/>
            <w:tcBorders>
              <w:tl2br w:val="nil"/>
              <w:tr2bl w:val="nil"/>
            </w:tcBorders>
            <w:shd w:val="clear" w:color="auto" w:fill="auto"/>
            <w:vAlign w:val="center"/>
          </w:tcPr>
          <w:p>
            <w:pPr>
              <w:pStyle w:val="76"/>
              <w:widowControl w:val="0"/>
            </w:pPr>
            <w:r>
              <w:rPr>
                <w:rFonts w:hint="eastAsia"/>
              </w:rPr>
              <w:t>权属证明材料</w:t>
            </w:r>
          </w:p>
        </w:tc>
        <w:tc>
          <w:tcPr>
            <w:tcW w:w="1144" w:type="pct"/>
            <w:gridSpan w:val="3"/>
            <w:tcBorders>
              <w:tl2br w:val="nil"/>
              <w:tr2bl w:val="nil"/>
            </w:tcBorders>
            <w:shd w:val="clear" w:color="auto" w:fill="auto"/>
            <w:vAlign w:val="center"/>
          </w:tcPr>
          <w:p>
            <w:pPr>
              <w:pStyle w:val="76"/>
              <w:widowControl w:val="0"/>
            </w:pPr>
            <w:r>
              <w:rPr>
                <w:rFonts w:hint="eastAsia"/>
              </w:rPr>
              <w:t>名称</w:t>
            </w:r>
          </w:p>
        </w:tc>
        <w:tc>
          <w:tcPr>
            <w:tcW w:w="891" w:type="pct"/>
            <w:gridSpan w:val="3"/>
            <w:tcBorders>
              <w:tl2br w:val="nil"/>
              <w:tr2bl w:val="nil"/>
            </w:tcBorders>
            <w:shd w:val="clear" w:color="auto" w:fill="auto"/>
            <w:vAlign w:val="center"/>
          </w:tcPr>
          <w:p>
            <w:pPr>
              <w:pStyle w:val="76"/>
              <w:widowControl w:val="0"/>
            </w:pPr>
            <w:r>
              <w:rPr>
                <w:rFonts w:hint="eastAsia"/>
              </w:rPr>
              <w:t>编号</w:t>
            </w:r>
          </w:p>
        </w:tc>
        <w:tc>
          <w:tcPr>
            <w:tcW w:w="984" w:type="pct"/>
            <w:gridSpan w:val="3"/>
            <w:tcBorders>
              <w:tl2br w:val="nil"/>
              <w:tr2bl w:val="nil"/>
            </w:tcBorders>
            <w:shd w:val="clear" w:color="auto" w:fill="auto"/>
            <w:vAlign w:val="center"/>
          </w:tcPr>
          <w:p>
            <w:pPr>
              <w:pStyle w:val="76"/>
              <w:widowControl w:val="0"/>
            </w:pPr>
            <w:r>
              <w:rPr>
                <w:rFonts w:hint="eastAsia"/>
              </w:rPr>
              <w:t>颁（签）发单位</w:t>
            </w:r>
          </w:p>
        </w:tc>
        <w:tc>
          <w:tcPr>
            <w:tcW w:w="687" w:type="pct"/>
            <w:gridSpan w:val="2"/>
            <w:tcBorders>
              <w:tl2br w:val="nil"/>
              <w:tr2bl w:val="nil"/>
            </w:tcBorders>
            <w:shd w:val="clear" w:color="auto" w:fill="auto"/>
            <w:vAlign w:val="center"/>
          </w:tcPr>
          <w:p>
            <w:pPr>
              <w:pStyle w:val="76"/>
              <w:widowControl w:val="0"/>
            </w:pPr>
            <w:r>
              <w:rPr>
                <w:rFonts w:hint="eastAsia"/>
              </w:rPr>
              <w:t>颁（签）发时间</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c>
          <w:tcPr>
            <w:tcW w:w="615" w:type="pct"/>
            <w:vMerge w:val="continue"/>
            <w:tcBorders>
              <w:tl2br w:val="nil"/>
              <w:tr2bl w:val="nil"/>
            </w:tcBorders>
            <w:shd w:val="clear" w:color="auto" w:fill="auto"/>
            <w:vAlign w:val="center"/>
          </w:tcPr>
          <w:p>
            <w:pPr>
              <w:pStyle w:val="76"/>
              <w:widowControl w:val="0"/>
            </w:pPr>
          </w:p>
        </w:tc>
        <w:tc>
          <w:tcPr>
            <w:tcW w:w="679" w:type="pct"/>
            <w:vMerge w:val="continue"/>
            <w:tcBorders>
              <w:tl2br w:val="nil"/>
              <w:tr2bl w:val="nil"/>
            </w:tcBorders>
            <w:shd w:val="clear" w:color="auto" w:fill="auto"/>
            <w:vAlign w:val="center"/>
          </w:tcPr>
          <w:p>
            <w:pPr>
              <w:pStyle w:val="76"/>
              <w:widowControl w:val="0"/>
            </w:pPr>
          </w:p>
        </w:tc>
        <w:tc>
          <w:tcPr>
            <w:tcW w:w="1144" w:type="pct"/>
            <w:gridSpan w:val="3"/>
            <w:tcBorders>
              <w:tl2br w:val="nil"/>
              <w:tr2bl w:val="nil"/>
            </w:tcBorders>
            <w:shd w:val="clear" w:color="auto" w:fill="auto"/>
            <w:vAlign w:val="center"/>
          </w:tcPr>
          <w:p>
            <w:pPr>
              <w:pStyle w:val="76"/>
              <w:widowControl w:val="0"/>
            </w:pPr>
          </w:p>
        </w:tc>
        <w:tc>
          <w:tcPr>
            <w:tcW w:w="891" w:type="pct"/>
            <w:gridSpan w:val="3"/>
            <w:tcBorders>
              <w:tl2br w:val="nil"/>
              <w:tr2bl w:val="nil"/>
            </w:tcBorders>
            <w:shd w:val="clear" w:color="auto" w:fill="auto"/>
            <w:vAlign w:val="center"/>
          </w:tcPr>
          <w:p>
            <w:pPr>
              <w:pStyle w:val="76"/>
              <w:widowControl w:val="0"/>
            </w:pPr>
          </w:p>
        </w:tc>
        <w:tc>
          <w:tcPr>
            <w:tcW w:w="984" w:type="pct"/>
            <w:gridSpan w:val="3"/>
            <w:tcBorders>
              <w:tl2br w:val="nil"/>
              <w:tr2bl w:val="nil"/>
            </w:tcBorders>
            <w:shd w:val="clear" w:color="auto" w:fill="auto"/>
            <w:vAlign w:val="center"/>
          </w:tcPr>
          <w:p>
            <w:pPr>
              <w:pStyle w:val="76"/>
              <w:widowControl w:val="0"/>
            </w:pPr>
          </w:p>
        </w:tc>
        <w:tc>
          <w:tcPr>
            <w:tcW w:w="687" w:type="pct"/>
            <w:gridSpan w:val="2"/>
            <w:tcBorders>
              <w:tl2br w:val="nil"/>
              <w:tr2bl w:val="nil"/>
            </w:tcBorders>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c>
          <w:tcPr>
            <w:tcW w:w="615" w:type="pct"/>
            <w:vMerge w:val="continue"/>
            <w:tcBorders>
              <w:tl2br w:val="nil"/>
              <w:tr2bl w:val="nil"/>
            </w:tcBorders>
            <w:shd w:val="clear" w:color="auto" w:fill="auto"/>
            <w:vAlign w:val="center"/>
          </w:tcPr>
          <w:p>
            <w:pPr>
              <w:pStyle w:val="76"/>
              <w:widowControl w:val="0"/>
            </w:pPr>
          </w:p>
        </w:tc>
        <w:tc>
          <w:tcPr>
            <w:tcW w:w="679" w:type="pct"/>
            <w:vMerge w:val="continue"/>
            <w:tcBorders>
              <w:tl2br w:val="nil"/>
              <w:tr2bl w:val="nil"/>
            </w:tcBorders>
            <w:shd w:val="clear" w:color="auto" w:fill="auto"/>
            <w:vAlign w:val="center"/>
          </w:tcPr>
          <w:p>
            <w:pPr>
              <w:pStyle w:val="76"/>
              <w:widowControl w:val="0"/>
            </w:pPr>
          </w:p>
        </w:tc>
        <w:tc>
          <w:tcPr>
            <w:tcW w:w="1144" w:type="pct"/>
            <w:gridSpan w:val="3"/>
            <w:tcBorders>
              <w:tl2br w:val="nil"/>
              <w:tr2bl w:val="nil"/>
            </w:tcBorders>
            <w:shd w:val="clear" w:color="auto" w:fill="auto"/>
            <w:vAlign w:val="center"/>
          </w:tcPr>
          <w:p>
            <w:pPr>
              <w:pStyle w:val="76"/>
              <w:widowControl w:val="0"/>
            </w:pPr>
          </w:p>
        </w:tc>
        <w:tc>
          <w:tcPr>
            <w:tcW w:w="891" w:type="pct"/>
            <w:gridSpan w:val="3"/>
            <w:tcBorders>
              <w:tl2br w:val="nil"/>
              <w:tr2bl w:val="nil"/>
            </w:tcBorders>
            <w:shd w:val="clear" w:color="auto" w:fill="auto"/>
            <w:vAlign w:val="center"/>
          </w:tcPr>
          <w:p>
            <w:pPr>
              <w:pStyle w:val="76"/>
              <w:widowControl w:val="0"/>
            </w:pPr>
          </w:p>
        </w:tc>
        <w:tc>
          <w:tcPr>
            <w:tcW w:w="984" w:type="pct"/>
            <w:gridSpan w:val="3"/>
            <w:tcBorders>
              <w:tl2br w:val="nil"/>
              <w:tr2bl w:val="nil"/>
            </w:tcBorders>
            <w:shd w:val="clear" w:color="auto" w:fill="auto"/>
            <w:vAlign w:val="center"/>
          </w:tcPr>
          <w:p>
            <w:pPr>
              <w:pStyle w:val="76"/>
              <w:widowControl w:val="0"/>
            </w:pPr>
          </w:p>
        </w:tc>
        <w:tc>
          <w:tcPr>
            <w:tcW w:w="687" w:type="pct"/>
            <w:gridSpan w:val="2"/>
            <w:tcBorders>
              <w:tl2br w:val="nil"/>
              <w:tr2bl w:val="nil"/>
            </w:tcBorders>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blHeader/>
        </w:trPr>
        <w:tc>
          <w:tcPr>
            <w:tcW w:w="615" w:type="pct"/>
            <w:vMerge w:val="continue"/>
            <w:tcBorders>
              <w:tl2br w:val="nil"/>
              <w:tr2bl w:val="nil"/>
            </w:tcBorders>
            <w:shd w:val="clear" w:color="auto" w:fill="auto"/>
            <w:vAlign w:val="center"/>
          </w:tcPr>
          <w:p>
            <w:pPr>
              <w:pStyle w:val="76"/>
              <w:widowControl w:val="0"/>
            </w:pPr>
          </w:p>
        </w:tc>
        <w:tc>
          <w:tcPr>
            <w:tcW w:w="679" w:type="pct"/>
            <w:vMerge w:val="continue"/>
            <w:tcBorders>
              <w:tl2br w:val="nil"/>
              <w:tr2bl w:val="nil"/>
            </w:tcBorders>
            <w:shd w:val="clear" w:color="auto" w:fill="auto"/>
            <w:vAlign w:val="center"/>
          </w:tcPr>
          <w:p>
            <w:pPr>
              <w:pStyle w:val="76"/>
              <w:widowControl w:val="0"/>
            </w:pPr>
          </w:p>
        </w:tc>
        <w:tc>
          <w:tcPr>
            <w:tcW w:w="1144" w:type="pct"/>
            <w:gridSpan w:val="3"/>
            <w:tcBorders>
              <w:tl2br w:val="nil"/>
              <w:tr2bl w:val="nil"/>
            </w:tcBorders>
            <w:shd w:val="clear" w:color="auto" w:fill="auto"/>
            <w:vAlign w:val="center"/>
          </w:tcPr>
          <w:p>
            <w:pPr>
              <w:pStyle w:val="76"/>
              <w:widowControl w:val="0"/>
            </w:pPr>
          </w:p>
        </w:tc>
        <w:tc>
          <w:tcPr>
            <w:tcW w:w="891" w:type="pct"/>
            <w:gridSpan w:val="3"/>
            <w:tcBorders>
              <w:tl2br w:val="nil"/>
              <w:tr2bl w:val="nil"/>
            </w:tcBorders>
            <w:shd w:val="clear" w:color="auto" w:fill="auto"/>
            <w:vAlign w:val="center"/>
          </w:tcPr>
          <w:p>
            <w:pPr>
              <w:pStyle w:val="76"/>
              <w:widowControl w:val="0"/>
            </w:pPr>
          </w:p>
        </w:tc>
        <w:tc>
          <w:tcPr>
            <w:tcW w:w="984" w:type="pct"/>
            <w:gridSpan w:val="3"/>
            <w:tcBorders>
              <w:tl2br w:val="nil"/>
              <w:tr2bl w:val="nil"/>
            </w:tcBorders>
            <w:shd w:val="clear" w:color="auto" w:fill="auto"/>
            <w:vAlign w:val="center"/>
          </w:tcPr>
          <w:p>
            <w:pPr>
              <w:pStyle w:val="76"/>
              <w:widowControl w:val="0"/>
            </w:pPr>
          </w:p>
        </w:tc>
        <w:tc>
          <w:tcPr>
            <w:tcW w:w="687" w:type="pct"/>
            <w:gridSpan w:val="2"/>
            <w:tcBorders>
              <w:tl2br w:val="nil"/>
              <w:tr2bl w:val="nil"/>
            </w:tcBorders>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c>
          <w:tcPr>
            <w:tcW w:w="615" w:type="pct"/>
            <w:vMerge w:val="continue"/>
            <w:tcBorders>
              <w:tl2br w:val="nil"/>
              <w:tr2bl w:val="nil"/>
            </w:tcBorders>
            <w:shd w:val="clear" w:color="auto" w:fill="auto"/>
            <w:vAlign w:val="center"/>
          </w:tcPr>
          <w:p>
            <w:pPr>
              <w:pStyle w:val="76"/>
              <w:widowControl w:val="0"/>
            </w:pPr>
          </w:p>
        </w:tc>
        <w:tc>
          <w:tcPr>
            <w:tcW w:w="1823" w:type="pct"/>
            <w:gridSpan w:val="4"/>
            <w:tcBorders>
              <w:tl2br w:val="nil"/>
              <w:tr2bl w:val="nil"/>
            </w:tcBorders>
            <w:shd w:val="clear" w:color="auto" w:fill="auto"/>
            <w:vAlign w:val="center"/>
          </w:tcPr>
          <w:p>
            <w:pPr>
              <w:pStyle w:val="76"/>
              <w:widowControl w:val="0"/>
            </w:pPr>
            <w:r>
              <w:rPr>
                <w:rFonts w:hint="eastAsia"/>
              </w:rPr>
              <w:t>批准使用年限</w:t>
            </w:r>
          </w:p>
        </w:tc>
        <w:tc>
          <w:tcPr>
            <w:tcW w:w="2562" w:type="pct"/>
            <w:gridSpan w:val="8"/>
            <w:tcBorders>
              <w:tl2br w:val="nil"/>
              <w:tr2bl w:val="nil"/>
            </w:tcBorders>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c>
          <w:tcPr>
            <w:tcW w:w="615" w:type="pct"/>
            <w:vMerge w:val="continue"/>
            <w:tcBorders>
              <w:tl2br w:val="nil"/>
              <w:tr2bl w:val="nil"/>
            </w:tcBorders>
            <w:shd w:val="clear" w:color="auto" w:fill="auto"/>
            <w:vAlign w:val="center"/>
          </w:tcPr>
          <w:p>
            <w:pPr>
              <w:pStyle w:val="76"/>
              <w:widowControl w:val="0"/>
            </w:pPr>
          </w:p>
        </w:tc>
        <w:tc>
          <w:tcPr>
            <w:tcW w:w="1823" w:type="pct"/>
            <w:gridSpan w:val="4"/>
            <w:tcBorders>
              <w:tl2br w:val="nil"/>
              <w:tr2bl w:val="nil"/>
            </w:tcBorders>
            <w:shd w:val="clear" w:color="auto" w:fill="auto"/>
            <w:vAlign w:val="center"/>
          </w:tcPr>
          <w:p>
            <w:pPr>
              <w:pStyle w:val="76"/>
              <w:widowControl w:val="0"/>
            </w:pPr>
            <w:r>
              <w:rPr>
                <w:rFonts w:hint="eastAsia"/>
              </w:rPr>
              <w:t>建成年份</w:t>
            </w:r>
          </w:p>
        </w:tc>
        <w:tc>
          <w:tcPr>
            <w:tcW w:w="2562" w:type="pct"/>
            <w:gridSpan w:val="8"/>
            <w:tcBorders>
              <w:tl2br w:val="nil"/>
              <w:tr2bl w:val="nil"/>
            </w:tcBorders>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c>
          <w:tcPr>
            <w:tcW w:w="615" w:type="pct"/>
            <w:vMerge w:val="continue"/>
            <w:tcBorders>
              <w:tl2br w:val="nil"/>
              <w:tr2bl w:val="nil"/>
            </w:tcBorders>
            <w:shd w:val="clear" w:color="auto" w:fill="auto"/>
            <w:vAlign w:val="center"/>
          </w:tcPr>
          <w:p>
            <w:pPr>
              <w:pStyle w:val="76"/>
              <w:widowControl w:val="0"/>
            </w:pPr>
          </w:p>
        </w:tc>
        <w:tc>
          <w:tcPr>
            <w:tcW w:w="1823" w:type="pct"/>
            <w:gridSpan w:val="4"/>
            <w:tcBorders>
              <w:tl2br w:val="nil"/>
              <w:tr2bl w:val="nil"/>
            </w:tcBorders>
            <w:shd w:val="clear" w:color="auto" w:fill="auto"/>
            <w:vAlign w:val="center"/>
          </w:tcPr>
          <w:p>
            <w:pPr>
              <w:pStyle w:val="76"/>
              <w:widowControl w:val="0"/>
            </w:pPr>
            <w:r>
              <w:rPr>
                <w:rFonts w:hint="eastAsia"/>
              </w:rPr>
              <w:t>批准用途</w:t>
            </w:r>
          </w:p>
        </w:tc>
        <w:tc>
          <w:tcPr>
            <w:tcW w:w="2562" w:type="pct"/>
            <w:gridSpan w:val="8"/>
            <w:tcBorders>
              <w:tl2br w:val="nil"/>
              <w:tr2bl w:val="nil"/>
            </w:tcBorders>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c>
          <w:tcPr>
            <w:tcW w:w="615" w:type="pct"/>
            <w:vMerge w:val="continue"/>
            <w:tcBorders>
              <w:tl2br w:val="nil"/>
              <w:tr2bl w:val="nil"/>
            </w:tcBorders>
            <w:shd w:val="clear" w:color="auto" w:fill="auto"/>
            <w:vAlign w:val="center"/>
          </w:tcPr>
          <w:p>
            <w:pPr>
              <w:pStyle w:val="76"/>
              <w:widowControl w:val="0"/>
            </w:pPr>
          </w:p>
        </w:tc>
        <w:tc>
          <w:tcPr>
            <w:tcW w:w="1823" w:type="pct"/>
            <w:gridSpan w:val="4"/>
            <w:tcBorders>
              <w:tl2br w:val="nil"/>
              <w:tr2bl w:val="nil"/>
            </w:tcBorders>
            <w:shd w:val="clear" w:color="auto" w:fill="auto"/>
            <w:vAlign w:val="center"/>
          </w:tcPr>
          <w:p>
            <w:pPr>
              <w:pStyle w:val="76"/>
              <w:widowControl w:val="0"/>
            </w:pPr>
            <w:r>
              <w:rPr>
                <w:rFonts w:hint="eastAsia"/>
              </w:rPr>
              <w:t>地下工程层数</w:t>
            </w:r>
          </w:p>
        </w:tc>
        <w:tc>
          <w:tcPr>
            <w:tcW w:w="2562" w:type="pct"/>
            <w:gridSpan w:val="8"/>
            <w:tcBorders>
              <w:tl2br w:val="nil"/>
              <w:tr2bl w:val="nil"/>
            </w:tcBorders>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c>
          <w:tcPr>
            <w:tcW w:w="615" w:type="pct"/>
            <w:vMerge w:val="continue"/>
            <w:tcBorders>
              <w:tl2br w:val="nil"/>
              <w:tr2bl w:val="nil"/>
            </w:tcBorders>
            <w:shd w:val="clear" w:color="auto" w:fill="auto"/>
            <w:vAlign w:val="center"/>
          </w:tcPr>
          <w:p>
            <w:pPr>
              <w:pStyle w:val="76"/>
              <w:widowControl w:val="0"/>
            </w:pPr>
          </w:p>
        </w:tc>
        <w:tc>
          <w:tcPr>
            <w:tcW w:w="1823" w:type="pct"/>
            <w:gridSpan w:val="4"/>
            <w:tcBorders>
              <w:tl2br w:val="nil"/>
              <w:tr2bl w:val="nil"/>
            </w:tcBorders>
            <w:shd w:val="clear" w:color="auto" w:fill="auto"/>
            <w:vAlign w:val="center"/>
          </w:tcPr>
          <w:p>
            <w:pPr>
              <w:pStyle w:val="76"/>
              <w:widowControl w:val="0"/>
            </w:pPr>
            <w:r>
              <w:rPr>
                <w:rFonts w:hint="eastAsia"/>
              </w:rPr>
              <w:t>地下工程建设类型</w:t>
            </w:r>
          </w:p>
        </w:tc>
        <w:tc>
          <w:tcPr>
            <w:tcW w:w="2562" w:type="pct"/>
            <w:gridSpan w:val="8"/>
            <w:tcBorders>
              <w:tl2br w:val="nil"/>
              <w:tr2bl w:val="nil"/>
            </w:tcBorders>
            <w:shd w:val="clear" w:color="auto" w:fill="auto"/>
            <w:vAlign w:val="center"/>
          </w:tcPr>
          <w:p>
            <w:pPr>
              <w:pStyle w:val="76"/>
              <w:widowControl w:val="0"/>
            </w:pPr>
            <w:r>
              <w:rPr>
                <w:rFonts w:hint="eastAsia"/>
              </w:rPr>
              <w:t>□单建地下工程        □结建地下工程</w:t>
            </w:r>
          </w:p>
        </w:tc>
      </w:tr>
    </w:tbl>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pPr>
      <w:r>
        <w:rPr>
          <w:rFonts w:hint="eastAsia" w:ascii="黑体" w:hAnsi="Times New Roman" w:eastAsia="黑体"/>
          <w:kern w:val="21"/>
          <w:szCs w:val="20"/>
        </w:rPr>
        <w:t xml:space="preserve">表A.2 </w:t>
      </w:r>
      <w:r>
        <w:rPr>
          <w:rFonts w:hint="eastAsia" w:ascii="黑体" w:hAnsi="Times New Roman" w:eastAsia="黑体"/>
          <w:kern w:val="21"/>
          <w:szCs w:val="20"/>
          <w:lang w:val="en-US" w:eastAsia="zh-CN"/>
        </w:rPr>
        <w:t xml:space="preserve"> </w:t>
      </w:r>
      <w:r>
        <w:rPr>
          <w:rFonts w:hint="eastAsia" w:ascii="黑体" w:hAnsi="Times New Roman" w:eastAsia="黑体"/>
          <w:kern w:val="21"/>
          <w:szCs w:val="20"/>
        </w:rPr>
        <w:t>基本情况表</w:t>
      </w:r>
      <w:r>
        <w:rPr>
          <w:rFonts w:hint="eastAsia"/>
        </w:rPr>
        <w:t>（续）</w:t>
      </w:r>
    </w:p>
    <w:tbl>
      <w:tblPr>
        <w:tblStyle w:val="21"/>
        <w:tblW w:w="5005" w:type="pct"/>
        <w:jc w:val="center"/>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autofit"/>
        <w:tblCellMar>
          <w:top w:w="0" w:type="dxa"/>
          <w:left w:w="0" w:type="dxa"/>
          <w:bottom w:w="0" w:type="dxa"/>
          <w:right w:w="0" w:type="dxa"/>
        </w:tblCellMar>
      </w:tblPr>
      <w:tblGrid>
        <w:gridCol w:w="1135"/>
        <w:gridCol w:w="1430"/>
        <w:gridCol w:w="853"/>
        <w:gridCol w:w="849"/>
        <w:gridCol w:w="1148"/>
        <w:gridCol w:w="857"/>
        <w:gridCol w:w="857"/>
        <w:gridCol w:w="998"/>
        <w:gridCol w:w="1266"/>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04" w:type="pct"/>
            <w:vMerge w:val="restart"/>
            <w:shd w:val="clear" w:color="auto" w:fill="auto"/>
            <w:vAlign w:val="center"/>
          </w:tcPr>
          <w:p>
            <w:pPr>
              <w:pStyle w:val="76"/>
              <w:widowControl w:val="0"/>
            </w:pPr>
            <w:r>
              <w:rPr>
                <w:rFonts w:hint="eastAsia"/>
              </w:rPr>
              <w:t>基本情况</w:t>
            </w:r>
          </w:p>
        </w:tc>
        <w:tc>
          <w:tcPr>
            <w:tcW w:w="761" w:type="pct"/>
            <w:shd w:val="clear" w:color="auto" w:fill="auto"/>
            <w:vAlign w:val="center"/>
          </w:tcPr>
          <w:p>
            <w:pPr>
              <w:pStyle w:val="76"/>
              <w:widowControl w:val="0"/>
            </w:pPr>
            <w:r>
              <w:rPr>
                <w:rFonts w:hint="eastAsia"/>
              </w:rPr>
              <w:t>使用情况</w:t>
            </w:r>
          </w:p>
        </w:tc>
        <w:tc>
          <w:tcPr>
            <w:tcW w:w="3633" w:type="pct"/>
            <w:gridSpan w:val="7"/>
            <w:shd w:val="clear" w:color="auto" w:fill="auto"/>
            <w:vAlign w:val="center"/>
          </w:tcPr>
          <w:p>
            <w:pPr>
              <w:pStyle w:val="76"/>
              <w:widowControl w:val="0"/>
            </w:pPr>
            <w:r>
              <w:rPr>
                <w:rFonts w:hint="eastAsia"/>
              </w:rPr>
              <w:t>□专用人防空间  □配建人防设施  □地下车位</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04" w:type="pct"/>
            <w:vMerge w:val="continue"/>
            <w:shd w:val="clear" w:color="auto" w:fill="auto"/>
            <w:vAlign w:val="center"/>
          </w:tcPr>
          <w:p>
            <w:pPr>
              <w:pStyle w:val="76"/>
              <w:widowControl w:val="0"/>
            </w:pPr>
          </w:p>
        </w:tc>
        <w:tc>
          <w:tcPr>
            <w:tcW w:w="761" w:type="pct"/>
            <w:vMerge w:val="restart"/>
            <w:shd w:val="clear" w:color="auto" w:fill="auto"/>
            <w:vAlign w:val="center"/>
          </w:tcPr>
          <w:p>
            <w:pPr>
              <w:pStyle w:val="76"/>
              <w:widowControl w:val="0"/>
            </w:pPr>
            <w:r>
              <w:rPr>
                <w:rFonts w:hint="eastAsia"/>
              </w:rPr>
              <w:t>地下工程出入口</w:t>
            </w:r>
          </w:p>
        </w:tc>
        <w:tc>
          <w:tcPr>
            <w:tcW w:w="906" w:type="pct"/>
            <w:gridSpan w:val="2"/>
            <w:shd w:val="clear" w:color="auto" w:fill="auto"/>
            <w:vAlign w:val="center"/>
          </w:tcPr>
          <w:p>
            <w:pPr>
              <w:pStyle w:val="76"/>
              <w:widowControl w:val="0"/>
            </w:pPr>
            <w:r>
              <w:rPr>
                <w:rFonts w:hint="eastAsia"/>
              </w:rPr>
              <w:t>数量</w:t>
            </w:r>
          </w:p>
        </w:tc>
        <w:tc>
          <w:tcPr>
            <w:tcW w:w="2726" w:type="pct"/>
            <w:gridSpan w:val="5"/>
            <w:shd w:val="clear" w:color="auto" w:fill="auto"/>
            <w:vAlign w:val="center"/>
          </w:tcPr>
          <w:p>
            <w:pPr>
              <w:pStyle w:val="76"/>
              <w:widowControl w:val="0"/>
            </w:pPr>
            <w:r>
              <w:rPr>
                <w:rFonts w:hint="eastAsia"/>
              </w:rPr>
              <w:t xml:space="preserve">                       （个）</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04" w:type="pct"/>
            <w:vMerge w:val="continue"/>
            <w:shd w:val="clear" w:color="auto" w:fill="auto"/>
            <w:vAlign w:val="center"/>
          </w:tcPr>
          <w:p>
            <w:pPr>
              <w:pStyle w:val="76"/>
              <w:widowControl w:val="0"/>
            </w:pPr>
          </w:p>
        </w:tc>
        <w:tc>
          <w:tcPr>
            <w:tcW w:w="761" w:type="pct"/>
            <w:vMerge w:val="continue"/>
            <w:shd w:val="clear" w:color="auto" w:fill="auto"/>
            <w:vAlign w:val="center"/>
          </w:tcPr>
          <w:p>
            <w:pPr>
              <w:pStyle w:val="76"/>
              <w:widowControl w:val="0"/>
            </w:pPr>
          </w:p>
        </w:tc>
        <w:tc>
          <w:tcPr>
            <w:tcW w:w="906" w:type="pct"/>
            <w:gridSpan w:val="2"/>
            <w:shd w:val="clear" w:color="auto" w:fill="auto"/>
            <w:vAlign w:val="center"/>
          </w:tcPr>
          <w:p>
            <w:pPr>
              <w:pStyle w:val="76"/>
              <w:widowControl w:val="0"/>
            </w:pPr>
            <w:r>
              <w:rPr>
                <w:rFonts w:hint="eastAsia"/>
              </w:rPr>
              <w:t>编号</w:t>
            </w:r>
          </w:p>
        </w:tc>
        <w:tc>
          <w:tcPr>
            <w:tcW w:w="611" w:type="pct"/>
            <w:shd w:val="clear" w:color="auto" w:fill="auto"/>
            <w:vAlign w:val="center"/>
          </w:tcPr>
          <w:p>
            <w:pPr>
              <w:pStyle w:val="76"/>
              <w:widowControl w:val="0"/>
            </w:pPr>
            <w:r>
              <w:rPr>
                <w:rFonts w:hint="eastAsia"/>
              </w:rPr>
              <w:t>坐落</w:t>
            </w:r>
          </w:p>
        </w:tc>
        <w:tc>
          <w:tcPr>
            <w:tcW w:w="1443" w:type="pct"/>
            <w:gridSpan w:val="3"/>
            <w:shd w:val="clear" w:color="auto" w:fill="auto"/>
            <w:vAlign w:val="center"/>
          </w:tcPr>
          <w:p>
            <w:pPr>
              <w:pStyle w:val="76"/>
              <w:widowControl w:val="0"/>
            </w:pPr>
            <w:r>
              <w:rPr>
                <w:rFonts w:hint="eastAsia"/>
              </w:rPr>
              <w:t>位置</w:t>
            </w:r>
          </w:p>
        </w:tc>
        <w:tc>
          <w:tcPr>
            <w:tcW w:w="671" w:type="pct"/>
            <w:shd w:val="clear" w:color="auto" w:fill="auto"/>
            <w:vAlign w:val="center"/>
          </w:tcPr>
          <w:p>
            <w:pPr>
              <w:pStyle w:val="76"/>
              <w:widowControl w:val="0"/>
            </w:pPr>
            <w:r>
              <w:rPr>
                <w:rFonts w:hint="eastAsia"/>
              </w:rPr>
              <w:t>连通状况</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04" w:type="pct"/>
            <w:vMerge w:val="continue"/>
            <w:shd w:val="clear" w:color="auto" w:fill="auto"/>
            <w:vAlign w:val="center"/>
          </w:tcPr>
          <w:p>
            <w:pPr>
              <w:pStyle w:val="76"/>
              <w:widowControl w:val="0"/>
            </w:pPr>
          </w:p>
        </w:tc>
        <w:tc>
          <w:tcPr>
            <w:tcW w:w="761" w:type="pct"/>
            <w:vMerge w:val="restart"/>
            <w:shd w:val="clear" w:color="auto" w:fill="auto"/>
            <w:vAlign w:val="center"/>
          </w:tcPr>
          <w:p>
            <w:pPr>
              <w:pStyle w:val="76"/>
              <w:widowControl w:val="0"/>
            </w:pPr>
            <w:r>
              <w:rPr>
                <w:rFonts w:hint="eastAsia"/>
              </w:rPr>
              <w:t>地下工程出入口</w:t>
            </w:r>
          </w:p>
        </w:tc>
        <w:tc>
          <w:tcPr>
            <w:tcW w:w="906" w:type="pct"/>
            <w:gridSpan w:val="2"/>
            <w:shd w:val="clear" w:color="auto" w:fill="auto"/>
            <w:vAlign w:val="center"/>
          </w:tcPr>
          <w:p>
            <w:pPr>
              <w:pStyle w:val="76"/>
              <w:widowControl w:val="0"/>
            </w:pPr>
          </w:p>
        </w:tc>
        <w:tc>
          <w:tcPr>
            <w:tcW w:w="611" w:type="pct"/>
            <w:shd w:val="clear" w:color="auto" w:fill="auto"/>
            <w:vAlign w:val="center"/>
          </w:tcPr>
          <w:p>
            <w:pPr>
              <w:pStyle w:val="76"/>
              <w:widowControl w:val="0"/>
            </w:pPr>
          </w:p>
        </w:tc>
        <w:tc>
          <w:tcPr>
            <w:tcW w:w="1443" w:type="pct"/>
            <w:gridSpan w:val="3"/>
            <w:shd w:val="clear" w:color="auto" w:fill="auto"/>
            <w:vAlign w:val="center"/>
          </w:tcPr>
          <w:p>
            <w:pPr>
              <w:pStyle w:val="76"/>
              <w:widowControl w:val="0"/>
            </w:pPr>
            <w:r>
              <w:rPr>
                <w:rFonts w:hint="eastAsia"/>
              </w:rPr>
              <w:t>□地下  □地表</w:t>
            </w:r>
          </w:p>
        </w:tc>
        <w:tc>
          <w:tcPr>
            <w:tcW w:w="671" w:type="pct"/>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04" w:type="pct"/>
            <w:vMerge w:val="continue"/>
            <w:shd w:val="clear" w:color="auto" w:fill="auto"/>
            <w:vAlign w:val="center"/>
          </w:tcPr>
          <w:p>
            <w:pPr>
              <w:pStyle w:val="76"/>
              <w:widowControl w:val="0"/>
            </w:pPr>
          </w:p>
        </w:tc>
        <w:tc>
          <w:tcPr>
            <w:tcW w:w="761" w:type="pct"/>
            <w:vMerge w:val="continue"/>
            <w:shd w:val="clear" w:color="auto" w:fill="auto"/>
            <w:vAlign w:val="center"/>
          </w:tcPr>
          <w:p>
            <w:pPr>
              <w:pStyle w:val="76"/>
              <w:widowControl w:val="0"/>
            </w:pPr>
          </w:p>
        </w:tc>
        <w:tc>
          <w:tcPr>
            <w:tcW w:w="906" w:type="pct"/>
            <w:gridSpan w:val="2"/>
            <w:shd w:val="clear" w:color="auto" w:fill="auto"/>
            <w:vAlign w:val="center"/>
          </w:tcPr>
          <w:p>
            <w:pPr>
              <w:pStyle w:val="76"/>
              <w:widowControl w:val="0"/>
            </w:pPr>
          </w:p>
        </w:tc>
        <w:tc>
          <w:tcPr>
            <w:tcW w:w="611" w:type="pct"/>
            <w:shd w:val="clear" w:color="auto" w:fill="auto"/>
            <w:vAlign w:val="center"/>
          </w:tcPr>
          <w:p>
            <w:pPr>
              <w:pStyle w:val="76"/>
              <w:widowControl w:val="0"/>
            </w:pPr>
          </w:p>
        </w:tc>
        <w:tc>
          <w:tcPr>
            <w:tcW w:w="1443" w:type="pct"/>
            <w:gridSpan w:val="3"/>
            <w:shd w:val="clear" w:color="auto" w:fill="auto"/>
            <w:vAlign w:val="center"/>
          </w:tcPr>
          <w:p>
            <w:pPr>
              <w:pStyle w:val="76"/>
              <w:widowControl w:val="0"/>
            </w:pPr>
            <w:r>
              <w:rPr>
                <w:rFonts w:hint="eastAsia"/>
              </w:rPr>
              <w:t>□地下  □地表</w:t>
            </w:r>
          </w:p>
        </w:tc>
        <w:tc>
          <w:tcPr>
            <w:tcW w:w="671" w:type="pct"/>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04" w:type="pct"/>
            <w:vMerge w:val="continue"/>
            <w:shd w:val="clear" w:color="auto" w:fill="auto"/>
            <w:vAlign w:val="center"/>
          </w:tcPr>
          <w:p>
            <w:pPr>
              <w:pStyle w:val="76"/>
              <w:widowControl w:val="0"/>
            </w:pPr>
          </w:p>
        </w:tc>
        <w:tc>
          <w:tcPr>
            <w:tcW w:w="761" w:type="pct"/>
            <w:vMerge w:val="continue"/>
            <w:shd w:val="clear" w:color="auto" w:fill="auto"/>
            <w:vAlign w:val="center"/>
          </w:tcPr>
          <w:p>
            <w:pPr>
              <w:pStyle w:val="76"/>
              <w:widowControl w:val="0"/>
            </w:pPr>
          </w:p>
        </w:tc>
        <w:tc>
          <w:tcPr>
            <w:tcW w:w="906" w:type="pct"/>
            <w:gridSpan w:val="2"/>
            <w:shd w:val="clear" w:color="auto" w:fill="auto"/>
            <w:vAlign w:val="center"/>
          </w:tcPr>
          <w:p>
            <w:pPr>
              <w:pStyle w:val="76"/>
              <w:widowControl w:val="0"/>
            </w:pPr>
          </w:p>
        </w:tc>
        <w:tc>
          <w:tcPr>
            <w:tcW w:w="611" w:type="pct"/>
            <w:shd w:val="clear" w:color="auto" w:fill="auto"/>
            <w:vAlign w:val="center"/>
          </w:tcPr>
          <w:p>
            <w:pPr>
              <w:pStyle w:val="76"/>
              <w:widowControl w:val="0"/>
            </w:pPr>
          </w:p>
        </w:tc>
        <w:tc>
          <w:tcPr>
            <w:tcW w:w="1443" w:type="pct"/>
            <w:gridSpan w:val="3"/>
            <w:shd w:val="clear" w:color="auto" w:fill="auto"/>
            <w:vAlign w:val="center"/>
          </w:tcPr>
          <w:p>
            <w:pPr>
              <w:pStyle w:val="76"/>
              <w:widowControl w:val="0"/>
            </w:pPr>
            <w:r>
              <w:rPr>
                <w:rFonts w:hint="eastAsia"/>
              </w:rPr>
              <w:t>□地下  □地表</w:t>
            </w:r>
          </w:p>
        </w:tc>
        <w:tc>
          <w:tcPr>
            <w:tcW w:w="671" w:type="pct"/>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04" w:type="pct"/>
            <w:vMerge w:val="continue"/>
            <w:shd w:val="clear" w:color="auto" w:fill="auto"/>
            <w:vAlign w:val="center"/>
          </w:tcPr>
          <w:p>
            <w:pPr>
              <w:pStyle w:val="76"/>
              <w:widowControl w:val="0"/>
            </w:pPr>
          </w:p>
        </w:tc>
        <w:tc>
          <w:tcPr>
            <w:tcW w:w="761" w:type="pct"/>
            <w:vMerge w:val="continue"/>
            <w:shd w:val="clear" w:color="auto" w:fill="auto"/>
            <w:vAlign w:val="center"/>
          </w:tcPr>
          <w:p>
            <w:pPr>
              <w:pStyle w:val="76"/>
              <w:widowControl w:val="0"/>
            </w:pPr>
          </w:p>
        </w:tc>
        <w:tc>
          <w:tcPr>
            <w:tcW w:w="906" w:type="pct"/>
            <w:gridSpan w:val="2"/>
            <w:shd w:val="clear" w:color="auto" w:fill="auto"/>
            <w:vAlign w:val="center"/>
          </w:tcPr>
          <w:p>
            <w:pPr>
              <w:pStyle w:val="76"/>
              <w:widowControl w:val="0"/>
            </w:pPr>
          </w:p>
        </w:tc>
        <w:tc>
          <w:tcPr>
            <w:tcW w:w="611" w:type="pct"/>
            <w:shd w:val="clear" w:color="auto" w:fill="auto"/>
            <w:vAlign w:val="center"/>
          </w:tcPr>
          <w:p>
            <w:pPr>
              <w:pStyle w:val="76"/>
              <w:widowControl w:val="0"/>
            </w:pPr>
          </w:p>
        </w:tc>
        <w:tc>
          <w:tcPr>
            <w:tcW w:w="1443" w:type="pct"/>
            <w:gridSpan w:val="3"/>
            <w:shd w:val="clear" w:color="auto" w:fill="auto"/>
            <w:vAlign w:val="center"/>
          </w:tcPr>
          <w:p>
            <w:pPr>
              <w:pStyle w:val="76"/>
              <w:widowControl w:val="0"/>
            </w:pPr>
            <w:r>
              <w:rPr>
                <w:rFonts w:hint="eastAsia"/>
              </w:rPr>
              <w:t>□地下  □地表</w:t>
            </w:r>
          </w:p>
        </w:tc>
        <w:tc>
          <w:tcPr>
            <w:tcW w:w="671" w:type="pct"/>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04" w:type="pct"/>
            <w:vMerge w:val="continue"/>
            <w:shd w:val="clear" w:color="auto" w:fill="auto"/>
            <w:vAlign w:val="center"/>
          </w:tcPr>
          <w:p>
            <w:pPr>
              <w:pStyle w:val="76"/>
              <w:widowControl w:val="0"/>
            </w:pPr>
          </w:p>
        </w:tc>
        <w:tc>
          <w:tcPr>
            <w:tcW w:w="761" w:type="pct"/>
            <w:vMerge w:val="continue"/>
            <w:shd w:val="clear" w:color="auto" w:fill="auto"/>
            <w:vAlign w:val="center"/>
          </w:tcPr>
          <w:p>
            <w:pPr>
              <w:pStyle w:val="76"/>
              <w:widowControl w:val="0"/>
            </w:pPr>
          </w:p>
        </w:tc>
        <w:tc>
          <w:tcPr>
            <w:tcW w:w="906" w:type="pct"/>
            <w:gridSpan w:val="2"/>
            <w:shd w:val="clear" w:color="auto" w:fill="auto"/>
            <w:vAlign w:val="center"/>
          </w:tcPr>
          <w:p>
            <w:pPr>
              <w:pStyle w:val="76"/>
              <w:widowControl w:val="0"/>
            </w:pPr>
          </w:p>
        </w:tc>
        <w:tc>
          <w:tcPr>
            <w:tcW w:w="611" w:type="pct"/>
            <w:shd w:val="clear" w:color="auto" w:fill="auto"/>
            <w:vAlign w:val="center"/>
          </w:tcPr>
          <w:p>
            <w:pPr>
              <w:pStyle w:val="76"/>
              <w:widowControl w:val="0"/>
            </w:pPr>
          </w:p>
        </w:tc>
        <w:tc>
          <w:tcPr>
            <w:tcW w:w="1443" w:type="pct"/>
            <w:gridSpan w:val="3"/>
            <w:shd w:val="clear" w:color="auto" w:fill="auto"/>
            <w:vAlign w:val="center"/>
          </w:tcPr>
          <w:p>
            <w:pPr>
              <w:pStyle w:val="76"/>
              <w:widowControl w:val="0"/>
            </w:pPr>
            <w:r>
              <w:rPr>
                <w:rFonts w:hint="eastAsia"/>
              </w:rPr>
              <w:t>□地下  □地表</w:t>
            </w:r>
          </w:p>
        </w:tc>
        <w:tc>
          <w:tcPr>
            <w:tcW w:w="671" w:type="pct"/>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04" w:type="pct"/>
            <w:vMerge w:val="continue"/>
            <w:shd w:val="clear" w:color="auto" w:fill="auto"/>
            <w:vAlign w:val="center"/>
          </w:tcPr>
          <w:p>
            <w:pPr>
              <w:pStyle w:val="76"/>
              <w:widowControl w:val="0"/>
            </w:pPr>
          </w:p>
        </w:tc>
        <w:tc>
          <w:tcPr>
            <w:tcW w:w="761" w:type="pct"/>
            <w:vMerge w:val="continue"/>
            <w:shd w:val="clear" w:color="auto" w:fill="auto"/>
            <w:vAlign w:val="center"/>
          </w:tcPr>
          <w:p>
            <w:pPr>
              <w:pStyle w:val="76"/>
              <w:widowControl w:val="0"/>
            </w:pPr>
          </w:p>
        </w:tc>
        <w:tc>
          <w:tcPr>
            <w:tcW w:w="906" w:type="pct"/>
            <w:gridSpan w:val="2"/>
            <w:shd w:val="clear" w:color="auto" w:fill="auto"/>
            <w:vAlign w:val="center"/>
          </w:tcPr>
          <w:p>
            <w:pPr>
              <w:pStyle w:val="76"/>
              <w:widowControl w:val="0"/>
            </w:pPr>
          </w:p>
        </w:tc>
        <w:tc>
          <w:tcPr>
            <w:tcW w:w="611" w:type="pct"/>
            <w:shd w:val="clear" w:color="auto" w:fill="auto"/>
            <w:vAlign w:val="center"/>
          </w:tcPr>
          <w:p>
            <w:pPr>
              <w:pStyle w:val="76"/>
              <w:widowControl w:val="0"/>
            </w:pPr>
          </w:p>
        </w:tc>
        <w:tc>
          <w:tcPr>
            <w:tcW w:w="1443" w:type="pct"/>
            <w:gridSpan w:val="3"/>
            <w:shd w:val="clear" w:color="auto" w:fill="auto"/>
            <w:vAlign w:val="center"/>
          </w:tcPr>
          <w:p>
            <w:pPr>
              <w:pStyle w:val="76"/>
              <w:widowControl w:val="0"/>
            </w:pPr>
            <w:r>
              <w:rPr>
                <w:rFonts w:hint="eastAsia"/>
              </w:rPr>
              <w:t>□地下  □地表</w:t>
            </w:r>
          </w:p>
        </w:tc>
        <w:tc>
          <w:tcPr>
            <w:tcW w:w="671" w:type="pct"/>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04" w:type="pct"/>
            <w:vMerge w:val="continue"/>
            <w:shd w:val="clear" w:color="auto" w:fill="auto"/>
            <w:vAlign w:val="center"/>
          </w:tcPr>
          <w:p>
            <w:pPr>
              <w:pStyle w:val="76"/>
              <w:widowControl w:val="0"/>
            </w:pPr>
          </w:p>
        </w:tc>
        <w:tc>
          <w:tcPr>
            <w:tcW w:w="761" w:type="pct"/>
            <w:vMerge w:val="continue"/>
            <w:shd w:val="clear" w:color="auto" w:fill="auto"/>
            <w:vAlign w:val="center"/>
          </w:tcPr>
          <w:p>
            <w:pPr>
              <w:pStyle w:val="76"/>
              <w:widowControl w:val="0"/>
            </w:pPr>
          </w:p>
        </w:tc>
        <w:tc>
          <w:tcPr>
            <w:tcW w:w="906" w:type="pct"/>
            <w:gridSpan w:val="2"/>
            <w:shd w:val="clear" w:color="auto" w:fill="auto"/>
            <w:vAlign w:val="center"/>
          </w:tcPr>
          <w:p>
            <w:pPr>
              <w:pStyle w:val="76"/>
              <w:widowControl w:val="0"/>
            </w:pPr>
          </w:p>
        </w:tc>
        <w:tc>
          <w:tcPr>
            <w:tcW w:w="611" w:type="pct"/>
            <w:shd w:val="clear" w:color="auto" w:fill="auto"/>
            <w:vAlign w:val="center"/>
          </w:tcPr>
          <w:p>
            <w:pPr>
              <w:pStyle w:val="76"/>
              <w:widowControl w:val="0"/>
            </w:pPr>
          </w:p>
        </w:tc>
        <w:tc>
          <w:tcPr>
            <w:tcW w:w="1443" w:type="pct"/>
            <w:gridSpan w:val="3"/>
            <w:shd w:val="clear" w:color="auto" w:fill="auto"/>
            <w:vAlign w:val="center"/>
          </w:tcPr>
          <w:p>
            <w:pPr>
              <w:pStyle w:val="76"/>
              <w:widowControl w:val="0"/>
            </w:pPr>
            <w:r>
              <w:rPr>
                <w:rFonts w:hint="eastAsia"/>
              </w:rPr>
              <w:t>□地下  □地表</w:t>
            </w:r>
          </w:p>
        </w:tc>
        <w:tc>
          <w:tcPr>
            <w:tcW w:w="671" w:type="pct"/>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04" w:type="pct"/>
            <w:vMerge w:val="continue"/>
            <w:shd w:val="clear" w:color="auto" w:fill="auto"/>
            <w:vAlign w:val="center"/>
          </w:tcPr>
          <w:p>
            <w:pPr>
              <w:pStyle w:val="76"/>
              <w:widowControl w:val="0"/>
            </w:pPr>
          </w:p>
        </w:tc>
        <w:tc>
          <w:tcPr>
            <w:tcW w:w="761" w:type="pct"/>
            <w:vMerge w:val="continue"/>
            <w:shd w:val="clear" w:color="auto" w:fill="auto"/>
            <w:vAlign w:val="center"/>
          </w:tcPr>
          <w:p>
            <w:pPr>
              <w:pStyle w:val="76"/>
              <w:widowControl w:val="0"/>
            </w:pPr>
          </w:p>
        </w:tc>
        <w:tc>
          <w:tcPr>
            <w:tcW w:w="906" w:type="pct"/>
            <w:gridSpan w:val="2"/>
            <w:shd w:val="clear" w:color="auto" w:fill="auto"/>
            <w:vAlign w:val="center"/>
          </w:tcPr>
          <w:p>
            <w:pPr>
              <w:pStyle w:val="76"/>
              <w:widowControl w:val="0"/>
            </w:pPr>
          </w:p>
        </w:tc>
        <w:tc>
          <w:tcPr>
            <w:tcW w:w="611" w:type="pct"/>
            <w:shd w:val="clear" w:color="auto" w:fill="auto"/>
            <w:vAlign w:val="center"/>
          </w:tcPr>
          <w:p>
            <w:pPr>
              <w:pStyle w:val="76"/>
              <w:widowControl w:val="0"/>
            </w:pPr>
          </w:p>
        </w:tc>
        <w:tc>
          <w:tcPr>
            <w:tcW w:w="1443" w:type="pct"/>
            <w:gridSpan w:val="3"/>
            <w:shd w:val="clear" w:color="auto" w:fill="auto"/>
            <w:vAlign w:val="center"/>
          </w:tcPr>
          <w:p>
            <w:pPr>
              <w:pStyle w:val="76"/>
              <w:widowControl w:val="0"/>
            </w:pPr>
            <w:r>
              <w:rPr>
                <w:rFonts w:hint="eastAsia"/>
              </w:rPr>
              <w:t>□地下  □地表</w:t>
            </w:r>
          </w:p>
        </w:tc>
        <w:tc>
          <w:tcPr>
            <w:tcW w:w="671" w:type="pct"/>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04" w:type="pct"/>
            <w:vMerge w:val="continue"/>
            <w:shd w:val="clear" w:color="auto" w:fill="auto"/>
            <w:vAlign w:val="center"/>
          </w:tcPr>
          <w:p>
            <w:pPr>
              <w:pStyle w:val="76"/>
              <w:widowControl w:val="0"/>
            </w:pPr>
          </w:p>
        </w:tc>
        <w:tc>
          <w:tcPr>
            <w:tcW w:w="761" w:type="pct"/>
            <w:vMerge w:val="continue"/>
            <w:shd w:val="clear" w:color="auto" w:fill="auto"/>
            <w:vAlign w:val="center"/>
          </w:tcPr>
          <w:p>
            <w:pPr>
              <w:pStyle w:val="76"/>
              <w:widowControl w:val="0"/>
            </w:pPr>
          </w:p>
        </w:tc>
        <w:tc>
          <w:tcPr>
            <w:tcW w:w="906" w:type="pct"/>
            <w:gridSpan w:val="2"/>
            <w:shd w:val="clear" w:color="auto" w:fill="auto"/>
            <w:vAlign w:val="center"/>
          </w:tcPr>
          <w:p>
            <w:pPr>
              <w:pStyle w:val="76"/>
              <w:widowControl w:val="0"/>
            </w:pPr>
          </w:p>
        </w:tc>
        <w:tc>
          <w:tcPr>
            <w:tcW w:w="611" w:type="pct"/>
            <w:shd w:val="clear" w:color="auto" w:fill="auto"/>
            <w:vAlign w:val="center"/>
          </w:tcPr>
          <w:p>
            <w:pPr>
              <w:pStyle w:val="76"/>
              <w:widowControl w:val="0"/>
            </w:pPr>
          </w:p>
        </w:tc>
        <w:tc>
          <w:tcPr>
            <w:tcW w:w="1443" w:type="pct"/>
            <w:gridSpan w:val="3"/>
            <w:shd w:val="clear" w:color="auto" w:fill="auto"/>
            <w:vAlign w:val="center"/>
          </w:tcPr>
          <w:p>
            <w:pPr>
              <w:pStyle w:val="76"/>
              <w:widowControl w:val="0"/>
            </w:pPr>
            <w:r>
              <w:rPr>
                <w:rFonts w:hint="eastAsia"/>
              </w:rPr>
              <w:t>□地下  □地表</w:t>
            </w:r>
          </w:p>
        </w:tc>
        <w:tc>
          <w:tcPr>
            <w:tcW w:w="671" w:type="pct"/>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04" w:type="pct"/>
            <w:vMerge w:val="continue"/>
            <w:shd w:val="clear" w:color="auto" w:fill="auto"/>
            <w:vAlign w:val="center"/>
          </w:tcPr>
          <w:p>
            <w:pPr>
              <w:pStyle w:val="76"/>
              <w:widowControl w:val="0"/>
            </w:pPr>
          </w:p>
        </w:tc>
        <w:tc>
          <w:tcPr>
            <w:tcW w:w="761" w:type="pct"/>
            <w:vMerge w:val="continue"/>
            <w:shd w:val="clear" w:color="auto" w:fill="auto"/>
            <w:vAlign w:val="center"/>
          </w:tcPr>
          <w:p>
            <w:pPr>
              <w:pStyle w:val="76"/>
              <w:widowControl w:val="0"/>
            </w:pPr>
          </w:p>
        </w:tc>
        <w:tc>
          <w:tcPr>
            <w:tcW w:w="906" w:type="pct"/>
            <w:gridSpan w:val="2"/>
            <w:shd w:val="clear" w:color="auto" w:fill="auto"/>
            <w:vAlign w:val="center"/>
          </w:tcPr>
          <w:p>
            <w:pPr>
              <w:pStyle w:val="76"/>
              <w:widowControl w:val="0"/>
            </w:pPr>
          </w:p>
        </w:tc>
        <w:tc>
          <w:tcPr>
            <w:tcW w:w="611" w:type="pct"/>
            <w:shd w:val="clear" w:color="auto" w:fill="auto"/>
            <w:vAlign w:val="center"/>
          </w:tcPr>
          <w:p>
            <w:pPr>
              <w:pStyle w:val="76"/>
              <w:widowControl w:val="0"/>
            </w:pPr>
          </w:p>
        </w:tc>
        <w:tc>
          <w:tcPr>
            <w:tcW w:w="1443" w:type="pct"/>
            <w:gridSpan w:val="3"/>
            <w:shd w:val="clear" w:color="auto" w:fill="auto"/>
            <w:vAlign w:val="center"/>
          </w:tcPr>
          <w:p>
            <w:pPr>
              <w:pStyle w:val="76"/>
              <w:widowControl w:val="0"/>
            </w:pPr>
            <w:r>
              <w:rPr>
                <w:rFonts w:hint="eastAsia"/>
              </w:rPr>
              <w:t>□地下  □地表</w:t>
            </w:r>
          </w:p>
        </w:tc>
        <w:tc>
          <w:tcPr>
            <w:tcW w:w="671" w:type="pct"/>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04" w:type="pct"/>
            <w:vMerge w:val="continue"/>
            <w:shd w:val="clear" w:color="auto" w:fill="auto"/>
            <w:vAlign w:val="center"/>
          </w:tcPr>
          <w:p>
            <w:pPr>
              <w:pStyle w:val="76"/>
              <w:widowControl w:val="0"/>
            </w:pPr>
          </w:p>
        </w:tc>
        <w:tc>
          <w:tcPr>
            <w:tcW w:w="761" w:type="pct"/>
            <w:vMerge w:val="restart"/>
            <w:shd w:val="clear" w:color="auto" w:fill="auto"/>
            <w:vAlign w:val="center"/>
          </w:tcPr>
          <w:p>
            <w:pPr>
              <w:pStyle w:val="76"/>
              <w:widowControl w:val="0"/>
            </w:pPr>
            <w:r>
              <w:rPr>
                <w:rFonts w:hint="eastAsia"/>
              </w:rPr>
              <w:t>地下工程分层利用情况</w:t>
            </w:r>
          </w:p>
        </w:tc>
        <w:tc>
          <w:tcPr>
            <w:tcW w:w="454" w:type="pct"/>
            <w:shd w:val="clear" w:color="auto" w:fill="auto"/>
            <w:vAlign w:val="center"/>
          </w:tcPr>
          <w:p>
            <w:pPr>
              <w:pStyle w:val="76"/>
              <w:widowControl w:val="0"/>
            </w:pPr>
            <w:r>
              <w:rPr>
                <w:rFonts w:hint="eastAsia"/>
              </w:rPr>
              <w:t>层面编号</w:t>
            </w:r>
          </w:p>
        </w:tc>
        <w:tc>
          <w:tcPr>
            <w:tcW w:w="451" w:type="pct"/>
            <w:shd w:val="clear" w:color="auto" w:fill="auto"/>
            <w:vAlign w:val="center"/>
          </w:tcPr>
          <w:p>
            <w:pPr>
              <w:pStyle w:val="76"/>
              <w:widowControl w:val="0"/>
            </w:pPr>
            <w:r>
              <w:rPr>
                <w:rFonts w:hint="eastAsia"/>
              </w:rPr>
              <w:t>建筑面积</w:t>
            </w:r>
          </w:p>
        </w:tc>
        <w:tc>
          <w:tcPr>
            <w:tcW w:w="611" w:type="pct"/>
            <w:shd w:val="clear" w:color="auto" w:fill="auto"/>
            <w:vAlign w:val="center"/>
          </w:tcPr>
          <w:p>
            <w:pPr>
              <w:pStyle w:val="76"/>
              <w:widowControl w:val="0"/>
            </w:pPr>
            <w:r>
              <w:rPr>
                <w:rFonts w:hint="eastAsia"/>
              </w:rPr>
              <w:t>层面净高</w:t>
            </w:r>
          </w:p>
        </w:tc>
        <w:tc>
          <w:tcPr>
            <w:tcW w:w="456" w:type="pct"/>
            <w:shd w:val="clear" w:color="auto" w:fill="auto"/>
            <w:vAlign w:val="center"/>
          </w:tcPr>
          <w:p>
            <w:pPr>
              <w:pStyle w:val="76"/>
              <w:widowControl w:val="0"/>
            </w:pPr>
            <w:r>
              <w:rPr>
                <w:rFonts w:hint="eastAsia"/>
              </w:rPr>
              <w:t>层面用途</w:t>
            </w:r>
          </w:p>
        </w:tc>
        <w:tc>
          <w:tcPr>
            <w:tcW w:w="456" w:type="pct"/>
            <w:shd w:val="clear" w:color="auto" w:fill="auto"/>
            <w:vAlign w:val="center"/>
          </w:tcPr>
          <w:p>
            <w:pPr>
              <w:pStyle w:val="76"/>
              <w:widowControl w:val="0"/>
            </w:pPr>
            <w:r>
              <w:rPr>
                <w:rFonts w:hint="eastAsia"/>
              </w:rPr>
              <w:t>顶板厚度</w:t>
            </w:r>
          </w:p>
        </w:tc>
        <w:tc>
          <w:tcPr>
            <w:tcW w:w="531" w:type="pct"/>
            <w:shd w:val="clear" w:color="auto" w:fill="auto"/>
            <w:vAlign w:val="center"/>
          </w:tcPr>
          <w:p>
            <w:pPr>
              <w:pStyle w:val="76"/>
              <w:widowControl w:val="0"/>
            </w:pPr>
            <w:r>
              <w:rPr>
                <w:rFonts w:hint="eastAsia"/>
              </w:rPr>
              <w:t>底板厚度</w:t>
            </w:r>
          </w:p>
        </w:tc>
        <w:tc>
          <w:tcPr>
            <w:tcW w:w="671" w:type="pct"/>
            <w:vAlign w:val="center"/>
          </w:tcPr>
          <w:p>
            <w:pPr>
              <w:pStyle w:val="76"/>
              <w:widowControl w:val="0"/>
            </w:pPr>
            <w:r>
              <w:rPr>
                <w:rFonts w:hint="eastAsia"/>
              </w:rPr>
              <w:t>民防配建面积</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04" w:type="pct"/>
            <w:vMerge w:val="continue"/>
            <w:shd w:val="clear" w:color="auto" w:fill="auto"/>
            <w:vAlign w:val="center"/>
          </w:tcPr>
          <w:p>
            <w:pPr>
              <w:pStyle w:val="76"/>
              <w:widowControl w:val="0"/>
            </w:pPr>
          </w:p>
        </w:tc>
        <w:tc>
          <w:tcPr>
            <w:tcW w:w="761" w:type="pct"/>
            <w:vMerge w:val="continue"/>
            <w:shd w:val="clear" w:color="auto" w:fill="auto"/>
            <w:vAlign w:val="center"/>
          </w:tcPr>
          <w:p>
            <w:pPr>
              <w:pStyle w:val="76"/>
              <w:widowControl w:val="0"/>
            </w:pPr>
          </w:p>
        </w:tc>
        <w:tc>
          <w:tcPr>
            <w:tcW w:w="454" w:type="pct"/>
            <w:shd w:val="clear" w:color="auto" w:fill="auto"/>
            <w:vAlign w:val="center"/>
          </w:tcPr>
          <w:p>
            <w:pPr>
              <w:pStyle w:val="76"/>
              <w:widowControl w:val="0"/>
            </w:pPr>
          </w:p>
        </w:tc>
        <w:tc>
          <w:tcPr>
            <w:tcW w:w="451" w:type="pct"/>
            <w:shd w:val="clear" w:color="auto" w:fill="auto"/>
            <w:vAlign w:val="center"/>
          </w:tcPr>
          <w:p>
            <w:pPr>
              <w:pStyle w:val="76"/>
              <w:widowControl w:val="0"/>
            </w:pPr>
          </w:p>
        </w:tc>
        <w:tc>
          <w:tcPr>
            <w:tcW w:w="611" w:type="pct"/>
            <w:shd w:val="clear" w:color="auto" w:fill="auto"/>
            <w:vAlign w:val="center"/>
          </w:tcPr>
          <w:p>
            <w:pPr>
              <w:pStyle w:val="76"/>
              <w:widowControl w:val="0"/>
            </w:pPr>
          </w:p>
        </w:tc>
        <w:tc>
          <w:tcPr>
            <w:tcW w:w="456" w:type="pct"/>
            <w:shd w:val="clear" w:color="auto" w:fill="auto"/>
            <w:vAlign w:val="center"/>
          </w:tcPr>
          <w:p>
            <w:pPr>
              <w:pStyle w:val="76"/>
              <w:widowControl w:val="0"/>
            </w:pPr>
          </w:p>
        </w:tc>
        <w:tc>
          <w:tcPr>
            <w:tcW w:w="456" w:type="pct"/>
            <w:shd w:val="clear" w:color="auto" w:fill="auto"/>
            <w:vAlign w:val="center"/>
          </w:tcPr>
          <w:p>
            <w:pPr>
              <w:pStyle w:val="76"/>
              <w:widowControl w:val="0"/>
            </w:pPr>
          </w:p>
        </w:tc>
        <w:tc>
          <w:tcPr>
            <w:tcW w:w="531" w:type="pct"/>
            <w:shd w:val="clear" w:color="auto" w:fill="auto"/>
            <w:vAlign w:val="center"/>
          </w:tcPr>
          <w:p>
            <w:pPr>
              <w:pStyle w:val="76"/>
              <w:widowControl w:val="0"/>
            </w:pPr>
          </w:p>
        </w:tc>
        <w:tc>
          <w:tcPr>
            <w:tcW w:w="671" w:type="pct"/>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blHeader/>
          <w:jc w:val="center"/>
        </w:trPr>
        <w:tc>
          <w:tcPr>
            <w:tcW w:w="604" w:type="pct"/>
            <w:vMerge w:val="continue"/>
            <w:shd w:val="clear" w:color="auto" w:fill="auto"/>
            <w:vAlign w:val="center"/>
          </w:tcPr>
          <w:p>
            <w:pPr>
              <w:pStyle w:val="76"/>
              <w:widowControl w:val="0"/>
            </w:pPr>
          </w:p>
        </w:tc>
        <w:tc>
          <w:tcPr>
            <w:tcW w:w="761" w:type="pct"/>
            <w:vMerge w:val="continue"/>
            <w:shd w:val="clear" w:color="auto" w:fill="auto"/>
            <w:vAlign w:val="center"/>
          </w:tcPr>
          <w:p>
            <w:pPr>
              <w:pStyle w:val="76"/>
              <w:widowControl w:val="0"/>
            </w:pPr>
          </w:p>
        </w:tc>
        <w:tc>
          <w:tcPr>
            <w:tcW w:w="454" w:type="pct"/>
            <w:tcBorders>
              <w:top w:val="single" w:color="auto" w:sz="8" w:space="0"/>
              <w:bottom w:val="single" w:color="auto" w:sz="8" w:space="0"/>
            </w:tcBorders>
            <w:shd w:val="clear" w:color="auto" w:fill="auto"/>
            <w:vAlign w:val="center"/>
          </w:tcPr>
          <w:p>
            <w:pPr>
              <w:pStyle w:val="76"/>
              <w:widowControl w:val="0"/>
            </w:pPr>
          </w:p>
        </w:tc>
        <w:tc>
          <w:tcPr>
            <w:tcW w:w="451" w:type="pct"/>
            <w:tcBorders>
              <w:top w:val="single" w:color="auto" w:sz="8" w:space="0"/>
              <w:bottom w:val="single" w:color="auto" w:sz="8" w:space="0"/>
            </w:tcBorders>
            <w:shd w:val="clear" w:color="auto" w:fill="auto"/>
            <w:vAlign w:val="center"/>
          </w:tcPr>
          <w:p>
            <w:pPr>
              <w:pStyle w:val="76"/>
              <w:widowControl w:val="0"/>
            </w:pPr>
          </w:p>
        </w:tc>
        <w:tc>
          <w:tcPr>
            <w:tcW w:w="611" w:type="pct"/>
            <w:tcBorders>
              <w:top w:val="single" w:color="auto" w:sz="8" w:space="0"/>
              <w:bottom w:val="single" w:color="auto" w:sz="8" w:space="0"/>
            </w:tcBorders>
            <w:shd w:val="clear" w:color="auto" w:fill="auto"/>
            <w:vAlign w:val="center"/>
          </w:tcPr>
          <w:p>
            <w:pPr>
              <w:pStyle w:val="76"/>
              <w:widowControl w:val="0"/>
            </w:pPr>
          </w:p>
        </w:tc>
        <w:tc>
          <w:tcPr>
            <w:tcW w:w="456" w:type="pct"/>
            <w:tcBorders>
              <w:top w:val="single" w:color="auto" w:sz="8" w:space="0"/>
              <w:bottom w:val="single" w:color="auto" w:sz="8" w:space="0"/>
            </w:tcBorders>
            <w:shd w:val="clear" w:color="auto" w:fill="auto"/>
            <w:vAlign w:val="center"/>
          </w:tcPr>
          <w:p>
            <w:pPr>
              <w:pStyle w:val="76"/>
              <w:widowControl w:val="0"/>
            </w:pPr>
          </w:p>
        </w:tc>
        <w:tc>
          <w:tcPr>
            <w:tcW w:w="456" w:type="pct"/>
            <w:tcBorders>
              <w:top w:val="single" w:color="auto" w:sz="8" w:space="0"/>
              <w:bottom w:val="single" w:color="auto" w:sz="8" w:space="0"/>
            </w:tcBorders>
            <w:shd w:val="clear" w:color="auto" w:fill="auto"/>
            <w:vAlign w:val="center"/>
          </w:tcPr>
          <w:p>
            <w:pPr>
              <w:pStyle w:val="76"/>
              <w:widowControl w:val="0"/>
            </w:pPr>
          </w:p>
        </w:tc>
        <w:tc>
          <w:tcPr>
            <w:tcW w:w="531" w:type="pct"/>
            <w:tcBorders>
              <w:top w:val="single" w:color="auto" w:sz="8" w:space="0"/>
              <w:bottom w:val="single" w:color="auto" w:sz="8" w:space="0"/>
            </w:tcBorders>
            <w:shd w:val="clear" w:color="auto" w:fill="auto"/>
            <w:vAlign w:val="center"/>
          </w:tcPr>
          <w:p>
            <w:pPr>
              <w:pStyle w:val="76"/>
              <w:widowControl w:val="0"/>
            </w:pPr>
          </w:p>
        </w:tc>
        <w:tc>
          <w:tcPr>
            <w:tcW w:w="671" w:type="pct"/>
            <w:tcBorders>
              <w:top w:val="single" w:color="auto" w:sz="8" w:space="0"/>
              <w:bottom w:val="single" w:color="auto" w:sz="8" w:space="0"/>
            </w:tcBorders>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PrEx>
        <w:trPr>
          <w:jc w:val="center"/>
        </w:trPr>
        <w:tc>
          <w:tcPr>
            <w:tcW w:w="604" w:type="pct"/>
            <w:vMerge w:val="continue"/>
            <w:shd w:val="clear" w:color="auto" w:fill="auto"/>
            <w:vAlign w:val="center"/>
          </w:tcPr>
          <w:p>
            <w:pPr>
              <w:pStyle w:val="76"/>
              <w:widowControl w:val="0"/>
            </w:pPr>
          </w:p>
        </w:tc>
        <w:tc>
          <w:tcPr>
            <w:tcW w:w="761" w:type="pct"/>
            <w:vMerge w:val="continue"/>
            <w:shd w:val="clear" w:color="auto" w:fill="auto"/>
            <w:vAlign w:val="center"/>
          </w:tcPr>
          <w:p>
            <w:pPr>
              <w:pStyle w:val="76"/>
              <w:widowControl w:val="0"/>
            </w:pPr>
          </w:p>
        </w:tc>
        <w:tc>
          <w:tcPr>
            <w:tcW w:w="454" w:type="pct"/>
            <w:shd w:val="clear" w:color="auto" w:fill="auto"/>
            <w:vAlign w:val="center"/>
          </w:tcPr>
          <w:p>
            <w:pPr>
              <w:pStyle w:val="76"/>
              <w:widowControl w:val="0"/>
            </w:pPr>
          </w:p>
        </w:tc>
        <w:tc>
          <w:tcPr>
            <w:tcW w:w="451" w:type="pct"/>
            <w:shd w:val="clear" w:color="auto" w:fill="auto"/>
            <w:vAlign w:val="center"/>
          </w:tcPr>
          <w:p>
            <w:pPr>
              <w:pStyle w:val="76"/>
              <w:widowControl w:val="0"/>
            </w:pPr>
          </w:p>
        </w:tc>
        <w:tc>
          <w:tcPr>
            <w:tcW w:w="611" w:type="pct"/>
            <w:shd w:val="clear" w:color="auto" w:fill="auto"/>
            <w:vAlign w:val="center"/>
          </w:tcPr>
          <w:p>
            <w:pPr>
              <w:pStyle w:val="76"/>
              <w:widowControl w:val="0"/>
            </w:pPr>
          </w:p>
        </w:tc>
        <w:tc>
          <w:tcPr>
            <w:tcW w:w="456" w:type="pct"/>
            <w:shd w:val="clear" w:color="auto" w:fill="auto"/>
            <w:vAlign w:val="center"/>
          </w:tcPr>
          <w:p>
            <w:pPr>
              <w:pStyle w:val="76"/>
              <w:widowControl w:val="0"/>
            </w:pPr>
          </w:p>
        </w:tc>
        <w:tc>
          <w:tcPr>
            <w:tcW w:w="456" w:type="pct"/>
            <w:shd w:val="clear" w:color="auto" w:fill="auto"/>
            <w:vAlign w:val="center"/>
          </w:tcPr>
          <w:p>
            <w:pPr>
              <w:pStyle w:val="76"/>
              <w:widowControl w:val="0"/>
            </w:pPr>
          </w:p>
        </w:tc>
        <w:tc>
          <w:tcPr>
            <w:tcW w:w="531" w:type="pct"/>
            <w:shd w:val="clear" w:color="auto" w:fill="auto"/>
            <w:vAlign w:val="center"/>
          </w:tcPr>
          <w:p>
            <w:pPr>
              <w:pStyle w:val="76"/>
              <w:widowControl w:val="0"/>
            </w:pPr>
          </w:p>
        </w:tc>
        <w:tc>
          <w:tcPr>
            <w:tcW w:w="671" w:type="pct"/>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04" w:type="pct"/>
            <w:vMerge w:val="continue"/>
            <w:shd w:val="clear" w:color="auto" w:fill="auto"/>
            <w:vAlign w:val="center"/>
          </w:tcPr>
          <w:p>
            <w:pPr>
              <w:pStyle w:val="76"/>
              <w:widowControl w:val="0"/>
            </w:pPr>
          </w:p>
        </w:tc>
        <w:tc>
          <w:tcPr>
            <w:tcW w:w="761" w:type="pct"/>
            <w:vMerge w:val="continue"/>
            <w:shd w:val="clear" w:color="auto" w:fill="auto"/>
            <w:vAlign w:val="center"/>
          </w:tcPr>
          <w:p>
            <w:pPr>
              <w:pStyle w:val="76"/>
              <w:widowControl w:val="0"/>
            </w:pPr>
          </w:p>
        </w:tc>
        <w:tc>
          <w:tcPr>
            <w:tcW w:w="454" w:type="pct"/>
            <w:shd w:val="clear" w:color="auto" w:fill="auto"/>
            <w:vAlign w:val="center"/>
          </w:tcPr>
          <w:p>
            <w:pPr>
              <w:pStyle w:val="76"/>
              <w:widowControl w:val="0"/>
            </w:pPr>
          </w:p>
        </w:tc>
        <w:tc>
          <w:tcPr>
            <w:tcW w:w="451" w:type="pct"/>
            <w:shd w:val="clear" w:color="auto" w:fill="auto"/>
            <w:vAlign w:val="center"/>
          </w:tcPr>
          <w:p>
            <w:pPr>
              <w:pStyle w:val="76"/>
              <w:widowControl w:val="0"/>
            </w:pPr>
          </w:p>
        </w:tc>
        <w:tc>
          <w:tcPr>
            <w:tcW w:w="611" w:type="pct"/>
            <w:shd w:val="clear" w:color="auto" w:fill="auto"/>
            <w:vAlign w:val="center"/>
          </w:tcPr>
          <w:p>
            <w:pPr>
              <w:pStyle w:val="76"/>
              <w:widowControl w:val="0"/>
            </w:pPr>
          </w:p>
        </w:tc>
        <w:tc>
          <w:tcPr>
            <w:tcW w:w="456" w:type="pct"/>
            <w:shd w:val="clear" w:color="auto" w:fill="auto"/>
            <w:vAlign w:val="center"/>
          </w:tcPr>
          <w:p>
            <w:pPr>
              <w:pStyle w:val="76"/>
              <w:widowControl w:val="0"/>
            </w:pPr>
          </w:p>
        </w:tc>
        <w:tc>
          <w:tcPr>
            <w:tcW w:w="456" w:type="pct"/>
            <w:shd w:val="clear" w:color="auto" w:fill="auto"/>
            <w:vAlign w:val="center"/>
          </w:tcPr>
          <w:p>
            <w:pPr>
              <w:pStyle w:val="76"/>
              <w:widowControl w:val="0"/>
            </w:pPr>
          </w:p>
        </w:tc>
        <w:tc>
          <w:tcPr>
            <w:tcW w:w="531" w:type="pct"/>
            <w:shd w:val="clear" w:color="auto" w:fill="auto"/>
            <w:vAlign w:val="center"/>
          </w:tcPr>
          <w:p>
            <w:pPr>
              <w:pStyle w:val="76"/>
              <w:widowControl w:val="0"/>
            </w:pPr>
          </w:p>
        </w:tc>
        <w:tc>
          <w:tcPr>
            <w:tcW w:w="671" w:type="pct"/>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04" w:type="pct"/>
            <w:vMerge w:val="continue"/>
            <w:shd w:val="clear" w:color="auto" w:fill="auto"/>
            <w:vAlign w:val="center"/>
          </w:tcPr>
          <w:p>
            <w:pPr>
              <w:pStyle w:val="76"/>
              <w:widowControl w:val="0"/>
            </w:pPr>
          </w:p>
        </w:tc>
        <w:tc>
          <w:tcPr>
            <w:tcW w:w="761" w:type="pct"/>
            <w:vMerge w:val="continue"/>
            <w:shd w:val="clear" w:color="auto" w:fill="auto"/>
            <w:vAlign w:val="center"/>
          </w:tcPr>
          <w:p>
            <w:pPr>
              <w:pStyle w:val="76"/>
              <w:widowControl w:val="0"/>
            </w:pPr>
          </w:p>
        </w:tc>
        <w:tc>
          <w:tcPr>
            <w:tcW w:w="454" w:type="pct"/>
            <w:shd w:val="clear" w:color="auto" w:fill="auto"/>
            <w:vAlign w:val="center"/>
          </w:tcPr>
          <w:p>
            <w:pPr>
              <w:pStyle w:val="76"/>
              <w:widowControl w:val="0"/>
            </w:pPr>
          </w:p>
        </w:tc>
        <w:tc>
          <w:tcPr>
            <w:tcW w:w="451" w:type="pct"/>
            <w:shd w:val="clear" w:color="auto" w:fill="auto"/>
            <w:vAlign w:val="center"/>
          </w:tcPr>
          <w:p>
            <w:pPr>
              <w:pStyle w:val="76"/>
              <w:widowControl w:val="0"/>
            </w:pPr>
          </w:p>
        </w:tc>
        <w:tc>
          <w:tcPr>
            <w:tcW w:w="611" w:type="pct"/>
            <w:shd w:val="clear" w:color="auto" w:fill="auto"/>
            <w:vAlign w:val="center"/>
          </w:tcPr>
          <w:p>
            <w:pPr>
              <w:pStyle w:val="76"/>
              <w:widowControl w:val="0"/>
            </w:pPr>
          </w:p>
        </w:tc>
        <w:tc>
          <w:tcPr>
            <w:tcW w:w="456" w:type="pct"/>
            <w:shd w:val="clear" w:color="auto" w:fill="auto"/>
            <w:vAlign w:val="center"/>
          </w:tcPr>
          <w:p>
            <w:pPr>
              <w:pStyle w:val="76"/>
              <w:widowControl w:val="0"/>
            </w:pPr>
          </w:p>
        </w:tc>
        <w:tc>
          <w:tcPr>
            <w:tcW w:w="456" w:type="pct"/>
            <w:shd w:val="clear" w:color="auto" w:fill="auto"/>
            <w:vAlign w:val="center"/>
          </w:tcPr>
          <w:p>
            <w:pPr>
              <w:pStyle w:val="76"/>
              <w:widowControl w:val="0"/>
            </w:pPr>
          </w:p>
        </w:tc>
        <w:tc>
          <w:tcPr>
            <w:tcW w:w="531" w:type="pct"/>
            <w:shd w:val="clear" w:color="auto" w:fill="auto"/>
            <w:vAlign w:val="center"/>
          </w:tcPr>
          <w:p>
            <w:pPr>
              <w:pStyle w:val="76"/>
              <w:widowControl w:val="0"/>
            </w:pPr>
          </w:p>
        </w:tc>
        <w:tc>
          <w:tcPr>
            <w:tcW w:w="671" w:type="pct"/>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04" w:type="pct"/>
            <w:vMerge w:val="continue"/>
            <w:shd w:val="clear" w:color="auto" w:fill="auto"/>
            <w:vAlign w:val="center"/>
          </w:tcPr>
          <w:p>
            <w:pPr>
              <w:pStyle w:val="76"/>
              <w:widowControl w:val="0"/>
            </w:pPr>
          </w:p>
        </w:tc>
        <w:tc>
          <w:tcPr>
            <w:tcW w:w="761" w:type="pct"/>
            <w:vMerge w:val="continue"/>
            <w:shd w:val="clear" w:color="auto" w:fill="auto"/>
            <w:vAlign w:val="center"/>
          </w:tcPr>
          <w:p>
            <w:pPr>
              <w:pStyle w:val="76"/>
              <w:widowControl w:val="0"/>
            </w:pPr>
          </w:p>
        </w:tc>
        <w:tc>
          <w:tcPr>
            <w:tcW w:w="454" w:type="pct"/>
            <w:shd w:val="clear" w:color="auto" w:fill="auto"/>
            <w:vAlign w:val="center"/>
          </w:tcPr>
          <w:p>
            <w:pPr>
              <w:pStyle w:val="76"/>
              <w:widowControl w:val="0"/>
            </w:pPr>
          </w:p>
        </w:tc>
        <w:tc>
          <w:tcPr>
            <w:tcW w:w="451" w:type="pct"/>
            <w:shd w:val="clear" w:color="auto" w:fill="auto"/>
            <w:vAlign w:val="center"/>
          </w:tcPr>
          <w:p>
            <w:pPr>
              <w:pStyle w:val="76"/>
              <w:widowControl w:val="0"/>
            </w:pPr>
          </w:p>
        </w:tc>
        <w:tc>
          <w:tcPr>
            <w:tcW w:w="611" w:type="pct"/>
            <w:shd w:val="clear" w:color="auto" w:fill="auto"/>
            <w:vAlign w:val="center"/>
          </w:tcPr>
          <w:p>
            <w:pPr>
              <w:pStyle w:val="76"/>
              <w:widowControl w:val="0"/>
            </w:pPr>
          </w:p>
        </w:tc>
        <w:tc>
          <w:tcPr>
            <w:tcW w:w="456" w:type="pct"/>
            <w:shd w:val="clear" w:color="auto" w:fill="auto"/>
            <w:vAlign w:val="center"/>
          </w:tcPr>
          <w:p>
            <w:pPr>
              <w:pStyle w:val="76"/>
              <w:widowControl w:val="0"/>
            </w:pPr>
          </w:p>
        </w:tc>
        <w:tc>
          <w:tcPr>
            <w:tcW w:w="456" w:type="pct"/>
            <w:shd w:val="clear" w:color="auto" w:fill="auto"/>
            <w:vAlign w:val="center"/>
          </w:tcPr>
          <w:p>
            <w:pPr>
              <w:pStyle w:val="76"/>
              <w:widowControl w:val="0"/>
            </w:pPr>
          </w:p>
        </w:tc>
        <w:tc>
          <w:tcPr>
            <w:tcW w:w="531" w:type="pct"/>
            <w:shd w:val="clear" w:color="auto" w:fill="auto"/>
            <w:vAlign w:val="center"/>
          </w:tcPr>
          <w:p>
            <w:pPr>
              <w:pStyle w:val="76"/>
              <w:widowControl w:val="0"/>
            </w:pPr>
          </w:p>
        </w:tc>
        <w:tc>
          <w:tcPr>
            <w:tcW w:w="671" w:type="pct"/>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04" w:type="pct"/>
            <w:vMerge w:val="continue"/>
            <w:shd w:val="clear" w:color="auto" w:fill="auto"/>
            <w:vAlign w:val="center"/>
          </w:tcPr>
          <w:p>
            <w:pPr>
              <w:pStyle w:val="76"/>
              <w:widowControl w:val="0"/>
            </w:pPr>
          </w:p>
        </w:tc>
        <w:tc>
          <w:tcPr>
            <w:tcW w:w="761" w:type="pct"/>
            <w:vMerge w:val="continue"/>
            <w:shd w:val="clear" w:color="auto" w:fill="auto"/>
            <w:vAlign w:val="center"/>
          </w:tcPr>
          <w:p>
            <w:pPr>
              <w:pStyle w:val="76"/>
              <w:widowControl w:val="0"/>
            </w:pPr>
          </w:p>
        </w:tc>
        <w:tc>
          <w:tcPr>
            <w:tcW w:w="454" w:type="pct"/>
            <w:shd w:val="clear" w:color="auto" w:fill="auto"/>
            <w:vAlign w:val="center"/>
          </w:tcPr>
          <w:p>
            <w:pPr>
              <w:pStyle w:val="76"/>
              <w:widowControl w:val="0"/>
            </w:pPr>
          </w:p>
        </w:tc>
        <w:tc>
          <w:tcPr>
            <w:tcW w:w="451" w:type="pct"/>
            <w:shd w:val="clear" w:color="auto" w:fill="auto"/>
            <w:vAlign w:val="center"/>
          </w:tcPr>
          <w:p>
            <w:pPr>
              <w:pStyle w:val="76"/>
              <w:widowControl w:val="0"/>
            </w:pPr>
          </w:p>
        </w:tc>
        <w:tc>
          <w:tcPr>
            <w:tcW w:w="611" w:type="pct"/>
            <w:shd w:val="clear" w:color="auto" w:fill="auto"/>
            <w:vAlign w:val="center"/>
          </w:tcPr>
          <w:p>
            <w:pPr>
              <w:pStyle w:val="76"/>
              <w:widowControl w:val="0"/>
            </w:pPr>
          </w:p>
        </w:tc>
        <w:tc>
          <w:tcPr>
            <w:tcW w:w="456" w:type="pct"/>
            <w:shd w:val="clear" w:color="auto" w:fill="auto"/>
            <w:vAlign w:val="center"/>
          </w:tcPr>
          <w:p>
            <w:pPr>
              <w:pStyle w:val="76"/>
              <w:widowControl w:val="0"/>
            </w:pPr>
          </w:p>
        </w:tc>
        <w:tc>
          <w:tcPr>
            <w:tcW w:w="456" w:type="pct"/>
            <w:shd w:val="clear" w:color="auto" w:fill="auto"/>
            <w:vAlign w:val="center"/>
          </w:tcPr>
          <w:p>
            <w:pPr>
              <w:pStyle w:val="76"/>
              <w:widowControl w:val="0"/>
            </w:pPr>
          </w:p>
        </w:tc>
        <w:tc>
          <w:tcPr>
            <w:tcW w:w="531" w:type="pct"/>
            <w:shd w:val="clear" w:color="auto" w:fill="auto"/>
            <w:vAlign w:val="center"/>
          </w:tcPr>
          <w:p>
            <w:pPr>
              <w:pStyle w:val="76"/>
              <w:widowControl w:val="0"/>
            </w:pPr>
          </w:p>
        </w:tc>
        <w:tc>
          <w:tcPr>
            <w:tcW w:w="671" w:type="pct"/>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04" w:type="pct"/>
            <w:vMerge w:val="continue"/>
            <w:shd w:val="clear" w:color="auto" w:fill="auto"/>
            <w:vAlign w:val="center"/>
          </w:tcPr>
          <w:p>
            <w:pPr>
              <w:pStyle w:val="76"/>
              <w:widowControl w:val="0"/>
            </w:pPr>
          </w:p>
        </w:tc>
        <w:tc>
          <w:tcPr>
            <w:tcW w:w="761" w:type="pct"/>
            <w:vMerge w:val="continue"/>
            <w:shd w:val="clear" w:color="auto" w:fill="auto"/>
            <w:vAlign w:val="center"/>
          </w:tcPr>
          <w:p>
            <w:pPr>
              <w:pStyle w:val="76"/>
              <w:widowControl w:val="0"/>
            </w:pPr>
          </w:p>
        </w:tc>
        <w:tc>
          <w:tcPr>
            <w:tcW w:w="454" w:type="pct"/>
            <w:shd w:val="clear" w:color="auto" w:fill="auto"/>
            <w:vAlign w:val="center"/>
          </w:tcPr>
          <w:p>
            <w:pPr>
              <w:pStyle w:val="76"/>
              <w:widowControl w:val="0"/>
            </w:pPr>
          </w:p>
        </w:tc>
        <w:tc>
          <w:tcPr>
            <w:tcW w:w="451" w:type="pct"/>
            <w:shd w:val="clear" w:color="auto" w:fill="auto"/>
            <w:vAlign w:val="center"/>
          </w:tcPr>
          <w:p>
            <w:pPr>
              <w:pStyle w:val="76"/>
              <w:widowControl w:val="0"/>
            </w:pPr>
          </w:p>
        </w:tc>
        <w:tc>
          <w:tcPr>
            <w:tcW w:w="611" w:type="pct"/>
            <w:shd w:val="clear" w:color="auto" w:fill="auto"/>
            <w:vAlign w:val="center"/>
          </w:tcPr>
          <w:p>
            <w:pPr>
              <w:pStyle w:val="76"/>
              <w:widowControl w:val="0"/>
            </w:pPr>
          </w:p>
        </w:tc>
        <w:tc>
          <w:tcPr>
            <w:tcW w:w="456" w:type="pct"/>
            <w:shd w:val="clear" w:color="auto" w:fill="auto"/>
            <w:vAlign w:val="center"/>
          </w:tcPr>
          <w:p>
            <w:pPr>
              <w:pStyle w:val="76"/>
              <w:widowControl w:val="0"/>
            </w:pPr>
          </w:p>
        </w:tc>
        <w:tc>
          <w:tcPr>
            <w:tcW w:w="456" w:type="pct"/>
            <w:shd w:val="clear" w:color="auto" w:fill="auto"/>
            <w:vAlign w:val="center"/>
          </w:tcPr>
          <w:p>
            <w:pPr>
              <w:pStyle w:val="76"/>
              <w:widowControl w:val="0"/>
            </w:pPr>
          </w:p>
        </w:tc>
        <w:tc>
          <w:tcPr>
            <w:tcW w:w="531" w:type="pct"/>
            <w:shd w:val="clear" w:color="auto" w:fill="auto"/>
            <w:vAlign w:val="center"/>
          </w:tcPr>
          <w:p>
            <w:pPr>
              <w:pStyle w:val="76"/>
              <w:widowControl w:val="0"/>
            </w:pPr>
          </w:p>
        </w:tc>
        <w:tc>
          <w:tcPr>
            <w:tcW w:w="671" w:type="pct"/>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04" w:type="pct"/>
            <w:vMerge w:val="continue"/>
            <w:shd w:val="clear" w:color="auto" w:fill="auto"/>
            <w:vAlign w:val="center"/>
          </w:tcPr>
          <w:p>
            <w:pPr>
              <w:pStyle w:val="76"/>
              <w:widowControl w:val="0"/>
            </w:pPr>
          </w:p>
        </w:tc>
        <w:tc>
          <w:tcPr>
            <w:tcW w:w="761" w:type="pct"/>
            <w:vMerge w:val="continue"/>
            <w:shd w:val="clear" w:color="auto" w:fill="auto"/>
            <w:vAlign w:val="center"/>
          </w:tcPr>
          <w:p>
            <w:pPr>
              <w:pStyle w:val="76"/>
              <w:widowControl w:val="0"/>
            </w:pPr>
          </w:p>
        </w:tc>
        <w:tc>
          <w:tcPr>
            <w:tcW w:w="454" w:type="pct"/>
            <w:shd w:val="clear" w:color="auto" w:fill="auto"/>
            <w:vAlign w:val="center"/>
          </w:tcPr>
          <w:p>
            <w:pPr>
              <w:pStyle w:val="76"/>
              <w:widowControl w:val="0"/>
            </w:pPr>
          </w:p>
        </w:tc>
        <w:tc>
          <w:tcPr>
            <w:tcW w:w="451" w:type="pct"/>
            <w:shd w:val="clear" w:color="auto" w:fill="auto"/>
            <w:vAlign w:val="center"/>
          </w:tcPr>
          <w:p>
            <w:pPr>
              <w:pStyle w:val="76"/>
              <w:widowControl w:val="0"/>
            </w:pPr>
          </w:p>
        </w:tc>
        <w:tc>
          <w:tcPr>
            <w:tcW w:w="611" w:type="pct"/>
            <w:shd w:val="clear" w:color="auto" w:fill="auto"/>
            <w:vAlign w:val="center"/>
          </w:tcPr>
          <w:p>
            <w:pPr>
              <w:pStyle w:val="76"/>
              <w:widowControl w:val="0"/>
            </w:pPr>
          </w:p>
        </w:tc>
        <w:tc>
          <w:tcPr>
            <w:tcW w:w="456" w:type="pct"/>
            <w:shd w:val="clear" w:color="auto" w:fill="auto"/>
            <w:vAlign w:val="center"/>
          </w:tcPr>
          <w:p>
            <w:pPr>
              <w:pStyle w:val="76"/>
              <w:widowControl w:val="0"/>
            </w:pPr>
          </w:p>
        </w:tc>
        <w:tc>
          <w:tcPr>
            <w:tcW w:w="456" w:type="pct"/>
            <w:shd w:val="clear" w:color="auto" w:fill="auto"/>
            <w:vAlign w:val="center"/>
          </w:tcPr>
          <w:p>
            <w:pPr>
              <w:pStyle w:val="76"/>
              <w:widowControl w:val="0"/>
            </w:pPr>
          </w:p>
        </w:tc>
        <w:tc>
          <w:tcPr>
            <w:tcW w:w="531" w:type="pct"/>
            <w:shd w:val="clear" w:color="auto" w:fill="auto"/>
            <w:vAlign w:val="center"/>
          </w:tcPr>
          <w:p>
            <w:pPr>
              <w:pStyle w:val="76"/>
              <w:widowControl w:val="0"/>
            </w:pPr>
          </w:p>
        </w:tc>
        <w:tc>
          <w:tcPr>
            <w:tcW w:w="671" w:type="pct"/>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604" w:type="pct"/>
            <w:vMerge w:val="continue"/>
            <w:shd w:val="clear" w:color="auto" w:fill="auto"/>
            <w:vAlign w:val="center"/>
          </w:tcPr>
          <w:p>
            <w:pPr>
              <w:pStyle w:val="76"/>
              <w:widowControl w:val="0"/>
            </w:pPr>
          </w:p>
        </w:tc>
        <w:tc>
          <w:tcPr>
            <w:tcW w:w="761" w:type="pct"/>
            <w:vMerge w:val="continue"/>
            <w:shd w:val="clear" w:color="auto" w:fill="auto"/>
            <w:vAlign w:val="center"/>
          </w:tcPr>
          <w:p>
            <w:pPr>
              <w:pStyle w:val="76"/>
              <w:widowControl w:val="0"/>
            </w:pPr>
          </w:p>
        </w:tc>
        <w:tc>
          <w:tcPr>
            <w:tcW w:w="454" w:type="pct"/>
            <w:shd w:val="clear" w:color="auto" w:fill="auto"/>
            <w:vAlign w:val="center"/>
          </w:tcPr>
          <w:p>
            <w:pPr>
              <w:pStyle w:val="76"/>
              <w:widowControl w:val="0"/>
            </w:pPr>
            <w:r>
              <w:rPr>
                <w:rFonts w:hint="eastAsia"/>
              </w:rPr>
              <w:t>合计</w:t>
            </w:r>
          </w:p>
        </w:tc>
        <w:tc>
          <w:tcPr>
            <w:tcW w:w="451" w:type="pct"/>
            <w:shd w:val="clear" w:color="auto" w:fill="auto"/>
            <w:vAlign w:val="center"/>
          </w:tcPr>
          <w:p>
            <w:pPr>
              <w:pStyle w:val="76"/>
              <w:widowControl w:val="0"/>
            </w:pPr>
          </w:p>
        </w:tc>
        <w:tc>
          <w:tcPr>
            <w:tcW w:w="611" w:type="pct"/>
            <w:shd w:val="clear" w:color="auto" w:fill="auto"/>
            <w:vAlign w:val="center"/>
          </w:tcPr>
          <w:p>
            <w:pPr>
              <w:pStyle w:val="76"/>
              <w:widowControl w:val="0"/>
            </w:pPr>
          </w:p>
        </w:tc>
        <w:tc>
          <w:tcPr>
            <w:tcW w:w="456" w:type="pct"/>
            <w:shd w:val="clear" w:color="auto" w:fill="auto"/>
            <w:vAlign w:val="center"/>
          </w:tcPr>
          <w:p>
            <w:pPr>
              <w:pStyle w:val="76"/>
              <w:widowControl w:val="0"/>
            </w:pPr>
          </w:p>
        </w:tc>
        <w:tc>
          <w:tcPr>
            <w:tcW w:w="456" w:type="pct"/>
            <w:shd w:val="clear" w:color="auto" w:fill="auto"/>
            <w:vAlign w:val="center"/>
          </w:tcPr>
          <w:p>
            <w:pPr>
              <w:pStyle w:val="76"/>
              <w:widowControl w:val="0"/>
            </w:pPr>
          </w:p>
        </w:tc>
        <w:tc>
          <w:tcPr>
            <w:tcW w:w="531" w:type="pct"/>
            <w:shd w:val="clear" w:color="auto" w:fill="auto"/>
            <w:vAlign w:val="center"/>
          </w:tcPr>
          <w:p>
            <w:pPr>
              <w:pStyle w:val="76"/>
              <w:widowControl w:val="0"/>
            </w:pPr>
          </w:p>
        </w:tc>
        <w:tc>
          <w:tcPr>
            <w:tcW w:w="671" w:type="pct"/>
          </w:tcPr>
          <w:p>
            <w:pPr>
              <w:pStyle w:val="76"/>
              <w:widowControl w:val="0"/>
            </w:pPr>
          </w:p>
        </w:tc>
      </w:tr>
    </w:tbl>
    <w:p>
      <w:pPr>
        <w:pStyle w:val="73"/>
        <w:numPr>
          <w:ilvl w:val="1"/>
          <w:numId w:val="0"/>
        </w:numPr>
        <w:spacing w:before="156" w:after="156"/>
        <w:sectPr>
          <w:pgSz w:w="11906" w:h="16838"/>
          <w:pgMar w:top="1417" w:right="1134" w:bottom="1134" w:left="1418" w:header="1417" w:footer="1134" w:gutter="0"/>
          <w:pgBorders>
            <w:top w:val="none" w:sz="0" w:space="0"/>
            <w:left w:val="none" w:sz="0" w:space="0"/>
            <w:bottom w:val="none" w:sz="0" w:space="0"/>
            <w:right w:val="none" w:sz="0" w:space="0"/>
          </w:pgBorders>
          <w:pgNumType w:fmt="decimal"/>
          <w:cols w:space="425" w:num="1"/>
          <w:docGrid w:type="lines" w:linePitch="312" w:charSpace="0"/>
        </w:sectPr>
      </w:pPr>
      <w:bookmarkStart w:id="261" w:name="_Toc182213555"/>
      <w:bookmarkStart w:id="262" w:name="_Toc180416779"/>
    </w:p>
    <w:p>
      <w:pPr>
        <w:pStyle w:val="73"/>
        <w:keepNext w:val="0"/>
        <w:keepLines w:val="0"/>
        <w:pageBreakBefore w:val="0"/>
        <w:widowControl w:val="0"/>
        <w:numPr>
          <w:ilvl w:val="1"/>
          <w:numId w:val="0"/>
        </w:numPr>
        <w:kinsoku/>
        <w:wordWrap/>
        <w:overflowPunct/>
        <w:topLinePunct w:val="0"/>
        <w:autoSpaceDE/>
        <w:autoSpaceDN/>
        <w:bidi w:val="0"/>
        <w:adjustRightInd/>
        <w:snapToGrid/>
        <w:spacing w:before="156" w:after="156"/>
        <w:ind w:left="0" w:leftChars="0" w:firstLine="0" w:firstLineChars="0"/>
        <w:textAlignment w:val="auto"/>
      </w:pPr>
      <w:bookmarkStart w:id="263" w:name="_Toc27653"/>
      <w:r>
        <w:rPr>
          <w:rFonts w:hint="eastAsia" w:ascii="黑体" w:hAnsi="Times New Roman" w:eastAsia="黑体" w:cs="Times New Roman"/>
          <w:b w:val="0"/>
          <w:i w:val="0"/>
          <w:snapToGrid/>
          <w:spacing w:val="0"/>
          <w:w w:val="100"/>
          <w:kern w:val="21"/>
          <w:sz w:val="21"/>
          <w:lang w:val="en-US" w:eastAsia="zh-CN" w:bidi="ar-SA"/>
        </w:rPr>
        <w:t>A.3　</w:t>
      </w:r>
      <w:r>
        <w:rPr>
          <w:rFonts w:hint="eastAsia"/>
        </w:rPr>
        <w:t>界址解析表</w:t>
      </w:r>
      <w:bookmarkEnd w:id="261"/>
      <w:bookmarkEnd w:id="262"/>
      <w:bookmarkEnd w:id="263"/>
    </w:p>
    <w:p>
      <w:pPr>
        <w:pStyle w:val="51"/>
        <w:rPr>
          <w:rFonts w:hint="eastAsia"/>
        </w:rPr>
      </w:pPr>
      <w:r>
        <w:rPr>
          <w:rFonts w:hint="eastAsia"/>
        </w:rPr>
        <w:t>界址解析表见表A.3。</w:t>
      </w:r>
    </w:p>
    <w:p>
      <w:pPr>
        <w:pStyle w:val="83"/>
        <w:spacing w:before="156" w:after="156"/>
        <w:rPr>
          <w:rFonts w:hint="eastAsia"/>
          <w:lang w:val="en-US" w:eastAsia="zh-CN"/>
        </w:rPr>
      </w:pPr>
      <w:r>
        <w:rPr>
          <w:rFonts w:hint="eastAsia"/>
          <w:lang w:val="en-US" w:eastAsia="zh-CN"/>
        </w:rPr>
        <w:t xml:space="preserve"> 界址解析表</w:t>
      </w:r>
    </w:p>
    <w:tbl>
      <w:tblPr>
        <w:tblStyle w:val="21"/>
        <w:tblW w:w="0" w:type="auto"/>
        <w:jc w:val="center"/>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autofit"/>
        <w:tblCellMar>
          <w:top w:w="0" w:type="dxa"/>
          <w:left w:w="0" w:type="dxa"/>
          <w:bottom w:w="0" w:type="dxa"/>
          <w:right w:w="0" w:type="dxa"/>
        </w:tblCellMar>
      </w:tblPr>
      <w:tblGrid>
        <w:gridCol w:w="718"/>
        <w:gridCol w:w="973"/>
        <w:gridCol w:w="993"/>
        <w:gridCol w:w="850"/>
        <w:gridCol w:w="425"/>
        <w:gridCol w:w="851"/>
        <w:gridCol w:w="850"/>
        <w:gridCol w:w="851"/>
        <w:gridCol w:w="425"/>
        <w:gridCol w:w="567"/>
        <w:gridCol w:w="567"/>
        <w:gridCol w:w="546"/>
        <w:gridCol w:w="718"/>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blHeader/>
          <w:jc w:val="center"/>
        </w:trPr>
        <w:tc>
          <w:tcPr>
            <w:tcW w:w="9334" w:type="dxa"/>
            <w:gridSpan w:val="13"/>
            <w:shd w:val="clear" w:color="auto" w:fill="auto"/>
            <w:vAlign w:val="center"/>
          </w:tcPr>
          <w:p>
            <w:pPr>
              <w:pStyle w:val="76"/>
              <w:widowControl w:val="0"/>
            </w:pPr>
            <w:r>
              <w:rPr>
                <w:rFonts w:hint="eastAsia"/>
              </w:rPr>
              <w:t>地下要素解析平面界址线情况</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blHeader/>
          <w:jc w:val="center"/>
        </w:trPr>
        <w:tc>
          <w:tcPr>
            <w:tcW w:w="718" w:type="dxa"/>
            <w:vMerge w:val="restart"/>
            <w:shd w:val="clear" w:color="auto" w:fill="auto"/>
            <w:vAlign w:val="center"/>
          </w:tcPr>
          <w:p>
            <w:pPr>
              <w:pStyle w:val="76"/>
              <w:widowControl w:val="0"/>
            </w:pPr>
            <w:r>
              <w:rPr>
                <w:rFonts w:hint="eastAsia"/>
              </w:rPr>
              <w:t>特征要素编号</w:t>
            </w:r>
          </w:p>
        </w:tc>
        <w:tc>
          <w:tcPr>
            <w:tcW w:w="3241" w:type="dxa"/>
            <w:gridSpan w:val="4"/>
            <w:shd w:val="clear" w:color="auto" w:fill="auto"/>
            <w:vAlign w:val="center"/>
          </w:tcPr>
          <w:p>
            <w:pPr>
              <w:pStyle w:val="76"/>
              <w:widowControl w:val="0"/>
            </w:pPr>
            <w:r>
              <w:rPr>
                <w:rFonts w:hint="eastAsia"/>
              </w:rPr>
              <w:t>要素类型</w:t>
            </w:r>
          </w:p>
        </w:tc>
        <w:tc>
          <w:tcPr>
            <w:tcW w:w="2977" w:type="dxa"/>
            <w:gridSpan w:val="4"/>
            <w:shd w:val="clear" w:color="auto" w:fill="auto"/>
            <w:vAlign w:val="center"/>
          </w:tcPr>
          <w:p>
            <w:pPr>
              <w:pStyle w:val="76"/>
              <w:widowControl w:val="0"/>
            </w:pPr>
            <w:r>
              <w:rPr>
                <w:rFonts w:hint="eastAsia"/>
              </w:rPr>
              <w:t>界址线解析依据</w:t>
            </w:r>
          </w:p>
        </w:tc>
        <w:tc>
          <w:tcPr>
            <w:tcW w:w="1680" w:type="dxa"/>
            <w:gridSpan w:val="3"/>
            <w:shd w:val="clear" w:color="auto" w:fill="auto"/>
            <w:vAlign w:val="center"/>
          </w:tcPr>
          <w:p>
            <w:pPr>
              <w:pStyle w:val="76"/>
              <w:widowControl w:val="0"/>
            </w:pPr>
            <w:r>
              <w:rPr>
                <w:rFonts w:hint="eastAsia"/>
              </w:rPr>
              <w:t>界址线位置</w:t>
            </w:r>
          </w:p>
        </w:tc>
        <w:tc>
          <w:tcPr>
            <w:tcW w:w="718"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718" w:type="dxa"/>
            <w:vMerge w:val="continue"/>
            <w:shd w:val="clear" w:color="auto" w:fill="auto"/>
            <w:vAlign w:val="center"/>
          </w:tcPr>
          <w:p>
            <w:pPr>
              <w:pStyle w:val="76"/>
              <w:widowControl w:val="0"/>
            </w:pPr>
          </w:p>
        </w:tc>
        <w:tc>
          <w:tcPr>
            <w:tcW w:w="973" w:type="dxa"/>
            <w:shd w:val="clear" w:color="auto" w:fill="auto"/>
            <w:vAlign w:val="center"/>
          </w:tcPr>
          <w:p>
            <w:pPr>
              <w:pStyle w:val="76"/>
              <w:widowControl w:val="0"/>
            </w:pPr>
            <w:r>
              <w:rPr>
                <w:rFonts w:hint="eastAsia"/>
              </w:rPr>
              <w:t>护墙内墙</w:t>
            </w:r>
          </w:p>
        </w:tc>
        <w:tc>
          <w:tcPr>
            <w:tcW w:w="993" w:type="dxa"/>
            <w:shd w:val="clear" w:color="auto" w:fill="auto"/>
            <w:vAlign w:val="center"/>
          </w:tcPr>
          <w:p>
            <w:pPr>
              <w:pStyle w:val="76"/>
              <w:widowControl w:val="0"/>
            </w:pPr>
            <w:r>
              <w:rPr>
                <w:rFonts w:hint="eastAsia"/>
              </w:rPr>
              <w:t>其他地物</w:t>
            </w:r>
          </w:p>
        </w:tc>
        <w:tc>
          <w:tcPr>
            <w:tcW w:w="850" w:type="dxa"/>
            <w:shd w:val="clear" w:color="auto" w:fill="auto"/>
            <w:vAlign w:val="center"/>
          </w:tcPr>
          <w:p>
            <w:pPr>
              <w:pStyle w:val="76"/>
              <w:widowControl w:val="0"/>
            </w:pPr>
            <w:r>
              <w:rPr>
                <w:rFonts w:hint="eastAsia"/>
              </w:rPr>
              <w:t>桩基范围</w:t>
            </w:r>
          </w:p>
        </w:tc>
        <w:tc>
          <w:tcPr>
            <w:tcW w:w="425" w:type="dxa"/>
            <w:shd w:val="clear" w:color="auto" w:fill="auto"/>
            <w:vAlign w:val="center"/>
          </w:tcPr>
          <w:p>
            <w:pPr>
              <w:pStyle w:val="76"/>
              <w:widowControl w:val="0"/>
            </w:pPr>
            <w:r>
              <w:rPr>
                <w:rFonts w:hint="eastAsia"/>
              </w:rPr>
              <w:t>其他</w:t>
            </w:r>
          </w:p>
        </w:tc>
        <w:tc>
          <w:tcPr>
            <w:tcW w:w="851" w:type="dxa"/>
            <w:shd w:val="clear" w:color="auto" w:fill="auto"/>
            <w:vAlign w:val="center"/>
          </w:tcPr>
          <w:p>
            <w:pPr>
              <w:pStyle w:val="76"/>
              <w:widowControl w:val="0"/>
            </w:pPr>
            <w:r>
              <w:rPr>
                <w:rFonts w:hint="eastAsia"/>
              </w:rPr>
              <w:t>墙体厚度</w:t>
            </w:r>
          </w:p>
        </w:tc>
        <w:tc>
          <w:tcPr>
            <w:tcW w:w="850" w:type="dxa"/>
            <w:shd w:val="clear" w:color="auto" w:fill="auto"/>
            <w:vAlign w:val="center"/>
          </w:tcPr>
          <w:p>
            <w:pPr>
              <w:pStyle w:val="76"/>
              <w:widowControl w:val="0"/>
            </w:pPr>
            <w:r>
              <w:rPr>
                <w:rFonts w:hint="eastAsia"/>
              </w:rPr>
              <w:t>堪丈距离</w:t>
            </w:r>
          </w:p>
        </w:tc>
        <w:tc>
          <w:tcPr>
            <w:tcW w:w="851" w:type="dxa"/>
            <w:shd w:val="clear" w:color="auto" w:fill="auto"/>
            <w:vAlign w:val="center"/>
          </w:tcPr>
          <w:p>
            <w:pPr>
              <w:pStyle w:val="76"/>
              <w:widowControl w:val="0"/>
            </w:pPr>
            <w:r>
              <w:rPr>
                <w:rFonts w:hint="eastAsia"/>
              </w:rPr>
              <w:t>直接使用</w:t>
            </w:r>
          </w:p>
        </w:tc>
        <w:tc>
          <w:tcPr>
            <w:tcW w:w="425" w:type="dxa"/>
            <w:shd w:val="clear" w:color="auto" w:fill="auto"/>
            <w:vAlign w:val="center"/>
          </w:tcPr>
          <w:p>
            <w:pPr>
              <w:pStyle w:val="76"/>
              <w:widowControl w:val="0"/>
            </w:pPr>
            <w:r>
              <w:rPr>
                <w:rFonts w:hint="eastAsia"/>
              </w:rPr>
              <w:t>其他</w:t>
            </w:r>
          </w:p>
        </w:tc>
        <w:tc>
          <w:tcPr>
            <w:tcW w:w="567" w:type="dxa"/>
            <w:shd w:val="clear" w:color="auto" w:fill="auto"/>
            <w:vAlign w:val="center"/>
          </w:tcPr>
          <w:p>
            <w:pPr>
              <w:pStyle w:val="76"/>
              <w:widowControl w:val="0"/>
            </w:pPr>
            <w:r>
              <w:rPr>
                <w:rFonts w:hint="eastAsia"/>
              </w:rPr>
              <w:t>内</w:t>
            </w:r>
          </w:p>
        </w:tc>
        <w:tc>
          <w:tcPr>
            <w:tcW w:w="567" w:type="dxa"/>
            <w:shd w:val="clear" w:color="auto" w:fill="auto"/>
            <w:vAlign w:val="center"/>
          </w:tcPr>
          <w:p>
            <w:pPr>
              <w:pStyle w:val="76"/>
              <w:widowControl w:val="0"/>
            </w:pPr>
            <w:r>
              <w:rPr>
                <w:rFonts w:hint="eastAsia"/>
              </w:rPr>
              <w:t>中</w:t>
            </w:r>
          </w:p>
        </w:tc>
        <w:tc>
          <w:tcPr>
            <w:tcW w:w="546" w:type="dxa"/>
            <w:shd w:val="clear" w:color="auto" w:fill="auto"/>
            <w:vAlign w:val="center"/>
          </w:tcPr>
          <w:p>
            <w:pPr>
              <w:pStyle w:val="76"/>
              <w:widowControl w:val="0"/>
            </w:pPr>
            <w:r>
              <w:rPr>
                <w:rFonts w:hint="eastAsia"/>
              </w:rPr>
              <w:t>外</w:t>
            </w:r>
          </w:p>
        </w:tc>
        <w:tc>
          <w:tcPr>
            <w:tcW w:w="718" w:type="dxa"/>
            <w:shd w:val="clear" w:color="auto" w:fill="auto"/>
            <w:vAlign w:val="center"/>
          </w:tcPr>
          <w:p>
            <w:pPr>
              <w:pStyle w:val="76"/>
              <w:widowControl w:val="0"/>
            </w:pPr>
            <w:r>
              <w:rPr>
                <w:rFonts w:hint="eastAsia"/>
              </w:rPr>
              <w:t>备注</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718" w:type="dxa"/>
            <w:shd w:val="clear" w:color="auto" w:fill="auto"/>
            <w:vAlign w:val="center"/>
          </w:tcPr>
          <w:p>
            <w:pPr>
              <w:pStyle w:val="76"/>
              <w:widowControl w:val="0"/>
            </w:pPr>
          </w:p>
        </w:tc>
        <w:tc>
          <w:tcPr>
            <w:tcW w:w="973" w:type="dxa"/>
            <w:shd w:val="clear" w:color="auto" w:fill="auto"/>
            <w:vAlign w:val="center"/>
          </w:tcPr>
          <w:p>
            <w:pPr>
              <w:pStyle w:val="76"/>
              <w:widowControl w:val="0"/>
            </w:pPr>
          </w:p>
        </w:tc>
        <w:tc>
          <w:tcPr>
            <w:tcW w:w="993"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425" w:type="dxa"/>
            <w:shd w:val="clear" w:color="auto" w:fill="auto"/>
            <w:vAlign w:val="center"/>
          </w:tcPr>
          <w:p>
            <w:pPr>
              <w:pStyle w:val="76"/>
              <w:widowControl w:val="0"/>
            </w:pPr>
          </w:p>
        </w:tc>
        <w:tc>
          <w:tcPr>
            <w:tcW w:w="851"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851" w:type="dxa"/>
            <w:shd w:val="clear" w:color="auto" w:fill="auto"/>
            <w:vAlign w:val="center"/>
          </w:tcPr>
          <w:p>
            <w:pPr>
              <w:pStyle w:val="76"/>
              <w:widowControl w:val="0"/>
            </w:pPr>
          </w:p>
        </w:tc>
        <w:tc>
          <w:tcPr>
            <w:tcW w:w="425" w:type="dxa"/>
            <w:shd w:val="clear" w:color="auto" w:fill="auto"/>
            <w:vAlign w:val="center"/>
          </w:tcPr>
          <w:p>
            <w:pPr>
              <w:pStyle w:val="76"/>
              <w:widowControl w:val="0"/>
            </w:pPr>
          </w:p>
        </w:tc>
        <w:tc>
          <w:tcPr>
            <w:tcW w:w="567" w:type="dxa"/>
            <w:shd w:val="clear" w:color="auto" w:fill="auto"/>
            <w:vAlign w:val="center"/>
          </w:tcPr>
          <w:p>
            <w:pPr>
              <w:pStyle w:val="76"/>
              <w:widowControl w:val="0"/>
            </w:pPr>
          </w:p>
        </w:tc>
        <w:tc>
          <w:tcPr>
            <w:tcW w:w="567" w:type="dxa"/>
            <w:shd w:val="clear" w:color="auto" w:fill="auto"/>
            <w:vAlign w:val="center"/>
          </w:tcPr>
          <w:p>
            <w:pPr>
              <w:pStyle w:val="76"/>
              <w:widowControl w:val="0"/>
            </w:pPr>
          </w:p>
        </w:tc>
        <w:tc>
          <w:tcPr>
            <w:tcW w:w="546" w:type="dxa"/>
            <w:shd w:val="clear" w:color="auto" w:fill="auto"/>
            <w:vAlign w:val="center"/>
          </w:tcPr>
          <w:p>
            <w:pPr>
              <w:pStyle w:val="76"/>
              <w:widowControl w:val="0"/>
            </w:pPr>
          </w:p>
        </w:tc>
        <w:tc>
          <w:tcPr>
            <w:tcW w:w="718"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718" w:type="dxa"/>
            <w:shd w:val="clear" w:color="auto" w:fill="auto"/>
            <w:vAlign w:val="center"/>
          </w:tcPr>
          <w:p>
            <w:pPr>
              <w:pStyle w:val="76"/>
              <w:widowControl w:val="0"/>
            </w:pPr>
          </w:p>
        </w:tc>
        <w:tc>
          <w:tcPr>
            <w:tcW w:w="973" w:type="dxa"/>
            <w:shd w:val="clear" w:color="auto" w:fill="auto"/>
            <w:vAlign w:val="center"/>
          </w:tcPr>
          <w:p>
            <w:pPr>
              <w:pStyle w:val="76"/>
              <w:widowControl w:val="0"/>
            </w:pPr>
          </w:p>
        </w:tc>
        <w:tc>
          <w:tcPr>
            <w:tcW w:w="993"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425" w:type="dxa"/>
            <w:shd w:val="clear" w:color="auto" w:fill="auto"/>
            <w:vAlign w:val="center"/>
          </w:tcPr>
          <w:p>
            <w:pPr>
              <w:pStyle w:val="76"/>
              <w:widowControl w:val="0"/>
            </w:pPr>
          </w:p>
        </w:tc>
        <w:tc>
          <w:tcPr>
            <w:tcW w:w="851"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851" w:type="dxa"/>
            <w:shd w:val="clear" w:color="auto" w:fill="auto"/>
            <w:vAlign w:val="center"/>
          </w:tcPr>
          <w:p>
            <w:pPr>
              <w:pStyle w:val="76"/>
              <w:widowControl w:val="0"/>
            </w:pPr>
          </w:p>
        </w:tc>
        <w:tc>
          <w:tcPr>
            <w:tcW w:w="425" w:type="dxa"/>
            <w:shd w:val="clear" w:color="auto" w:fill="auto"/>
            <w:vAlign w:val="center"/>
          </w:tcPr>
          <w:p>
            <w:pPr>
              <w:pStyle w:val="76"/>
              <w:widowControl w:val="0"/>
            </w:pPr>
          </w:p>
        </w:tc>
        <w:tc>
          <w:tcPr>
            <w:tcW w:w="567" w:type="dxa"/>
            <w:shd w:val="clear" w:color="auto" w:fill="auto"/>
            <w:vAlign w:val="center"/>
          </w:tcPr>
          <w:p>
            <w:pPr>
              <w:pStyle w:val="76"/>
              <w:widowControl w:val="0"/>
            </w:pPr>
          </w:p>
        </w:tc>
        <w:tc>
          <w:tcPr>
            <w:tcW w:w="567" w:type="dxa"/>
            <w:shd w:val="clear" w:color="auto" w:fill="auto"/>
            <w:vAlign w:val="center"/>
          </w:tcPr>
          <w:p>
            <w:pPr>
              <w:pStyle w:val="76"/>
              <w:widowControl w:val="0"/>
            </w:pPr>
          </w:p>
        </w:tc>
        <w:tc>
          <w:tcPr>
            <w:tcW w:w="546" w:type="dxa"/>
            <w:shd w:val="clear" w:color="auto" w:fill="auto"/>
            <w:vAlign w:val="center"/>
          </w:tcPr>
          <w:p>
            <w:pPr>
              <w:pStyle w:val="76"/>
              <w:widowControl w:val="0"/>
            </w:pPr>
          </w:p>
        </w:tc>
        <w:tc>
          <w:tcPr>
            <w:tcW w:w="718"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718" w:type="dxa"/>
            <w:shd w:val="clear" w:color="auto" w:fill="auto"/>
            <w:vAlign w:val="center"/>
          </w:tcPr>
          <w:p>
            <w:pPr>
              <w:pStyle w:val="76"/>
              <w:widowControl w:val="0"/>
            </w:pPr>
          </w:p>
        </w:tc>
        <w:tc>
          <w:tcPr>
            <w:tcW w:w="973" w:type="dxa"/>
            <w:shd w:val="clear" w:color="auto" w:fill="auto"/>
            <w:vAlign w:val="center"/>
          </w:tcPr>
          <w:p>
            <w:pPr>
              <w:pStyle w:val="76"/>
              <w:widowControl w:val="0"/>
            </w:pPr>
          </w:p>
        </w:tc>
        <w:tc>
          <w:tcPr>
            <w:tcW w:w="993"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425" w:type="dxa"/>
            <w:shd w:val="clear" w:color="auto" w:fill="auto"/>
            <w:vAlign w:val="center"/>
          </w:tcPr>
          <w:p>
            <w:pPr>
              <w:pStyle w:val="76"/>
              <w:widowControl w:val="0"/>
            </w:pPr>
          </w:p>
        </w:tc>
        <w:tc>
          <w:tcPr>
            <w:tcW w:w="851"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851" w:type="dxa"/>
            <w:shd w:val="clear" w:color="auto" w:fill="auto"/>
            <w:vAlign w:val="center"/>
          </w:tcPr>
          <w:p>
            <w:pPr>
              <w:pStyle w:val="76"/>
              <w:widowControl w:val="0"/>
            </w:pPr>
          </w:p>
        </w:tc>
        <w:tc>
          <w:tcPr>
            <w:tcW w:w="425" w:type="dxa"/>
            <w:shd w:val="clear" w:color="auto" w:fill="auto"/>
            <w:vAlign w:val="center"/>
          </w:tcPr>
          <w:p>
            <w:pPr>
              <w:pStyle w:val="76"/>
              <w:widowControl w:val="0"/>
            </w:pPr>
          </w:p>
        </w:tc>
        <w:tc>
          <w:tcPr>
            <w:tcW w:w="567" w:type="dxa"/>
            <w:shd w:val="clear" w:color="auto" w:fill="auto"/>
            <w:vAlign w:val="center"/>
          </w:tcPr>
          <w:p>
            <w:pPr>
              <w:pStyle w:val="76"/>
              <w:widowControl w:val="0"/>
            </w:pPr>
          </w:p>
        </w:tc>
        <w:tc>
          <w:tcPr>
            <w:tcW w:w="567" w:type="dxa"/>
            <w:shd w:val="clear" w:color="auto" w:fill="auto"/>
            <w:vAlign w:val="center"/>
          </w:tcPr>
          <w:p>
            <w:pPr>
              <w:pStyle w:val="76"/>
              <w:widowControl w:val="0"/>
            </w:pPr>
          </w:p>
        </w:tc>
        <w:tc>
          <w:tcPr>
            <w:tcW w:w="546" w:type="dxa"/>
            <w:shd w:val="clear" w:color="auto" w:fill="auto"/>
            <w:vAlign w:val="center"/>
          </w:tcPr>
          <w:p>
            <w:pPr>
              <w:pStyle w:val="76"/>
              <w:widowControl w:val="0"/>
            </w:pPr>
          </w:p>
        </w:tc>
        <w:tc>
          <w:tcPr>
            <w:tcW w:w="718"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718" w:type="dxa"/>
            <w:shd w:val="clear" w:color="auto" w:fill="auto"/>
            <w:vAlign w:val="center"/>
          </w:tcPr>
          <w:p>
            <w:pPr>
              <w:pStyle w:val="76"/>
              <w:widowControl w:val="0"/>
            </w:pPr>
          </w:p>
        </w:tc>
        <w:tc>
          <w:tcPr>
            <w:tcW w:w="973" w:type="dxa"/>
            <w:shd w:val="clear" w:color="auto" w:fill="auto"/>
            <w:vAlign w:val="center"/>
          </w:tcPr>
          <w:p>
            <w:pPr>
              <w:pStyle w:val="76"/>
              <w:widowControl w:val="0"/>
            </w:pPr>
          </w:p>
        </w:tc>
        <w:tc>
          <w:tcPr>
            <w:tcW w:w="993"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425" w:type="dxa"/>
            <w:shd w:val="clear" w:color="auto" w:fill="auto"/>
            <w:vAlign w:val="center"/>
          </w:tcPr>
          <w:p>
            <w:pPr>
              <w:pStyle w:val="76"/>
              <w:widowControl w:val="0"/>
            </w:pPr>
          </w:p>
        </w:tc>
        <w:tc>
          <w:tcPr>
            <w:tcW w:w="851"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851" w:type="dxa"/>
            <w:shd w:val="clear" w:color="auto" w:fill="auto"/>
            <w:vAlign w:val="center"/>
          </w:tcPr>
          <w:p>
            <w:pPr>
              <w:pStyle w:val="76"/>
              <w:widowControl w:val="0"/>
            </w:pPr>
          </w:p>
        </w:tc>
        <w:tc>
          <w:tcPr>
            <w:tcW w:w="425" w:type="dxa"/>
            <w:shd w:val="clear" w:color="auto" w:fill="auto"/>
            <w:vAlign w:val="center"/>
          </w:tcPr>
          <w:p>
            <w:pPr>
              <w:pStyle w:val="76"/>
              <w:widowControl w:val="0"/>
            </w:pPr>
          </w:p>
        </w:tc>
        <w:tc>
          <w:tcPr>
            <w:tcW w:w="567" w:type="dxa"/>
            <w:shd w:val="clear" w:color="auto" w:fill="auto"/>
            <w:vAlign w:val="center"/>
          </w:tcPr>
          <w:p>
            <w:pPr>
              <w:pStyle w:val="76"/>
              <w:widowControl w:val="0"/>
            </w:pPr>
          </w:p>
        </w:tc>
        <w:tc>
          <w:tcPr>
            <w:tcW w:w="567" w:type="dxa"/>
            <w:shd w:val="clear" w:color="auto" w:fill="auto"/>
            <w:vAlign w:val="center"/>
          </w:tcPr>
          <w:p>
            <w:pPr>
              <w:pStyle w:val="76"/>
              <w:widowControl w:val="0"/>
            </w:pPr>
          </w:p>
        </w:tc>
        <w:tc>
          <w:tcPr>
            <w:tcW w:w="546" w:type="dxa"/>
            <w:shd w:val="clear" w:color="auto" w:fill="auto"/>
            <w:vAlign w:val="center"/>
          </w:tcPr>
          <w:p>
            <w:pPr>
              <w:pStyle w:val="76"/>
              <w:widowControl w:val="0"/>
            </w:pPr>
          </w:p>
        </w:tc>
        <w:tc>
          <w:tcPr>
            <w:tcW w:w="718"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718" w:type="dxa"/>
            <w:shd w:val="clear" w:color="auto" w:fill="auto"/>
            <w:vAlign w:val="center"/>
          </w:tcPr>
          <w:p>
            <w:pPr>
              <w:pStyle w:val="76"/>
              <w:widowControl w:val="0"/>
            </w:pPr>
          </w:p>
        </w:tc>
        <w:tc>
          <w:tcPr>
            <w:tcW w:w="973" w:type="dxa"/>
            <w:shd w:val="clear" w:color="auto" w:fill="auto"/>
            <w:vAlign w:val="center"/>
          </w:tcPr>
          <w:p>
            <w:pPr>
              <w:pStyle w:val="76"/>
              <w:widowControl w:val="0"/>
            </w:pPr>
          </w:p>
        </w:tc>
        <w:tc>
          <w:tcPr>
            <w:tcW w:w="993"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425" w:type="dxa"/>
            <w:shd w:val="clear" w:color="auto" w:fill="auto"/>
            <w:vAlign w:val="center"/>
          </w:tcPr>
          <w:p>
            <w:pPr>
              <w:pStyle w:val="76"/>
              <w:widowControl w:val="0"/>
            </w:pPr>
          </w:p>
        </w:tc>
        <w:tc>
          <w:tcPr>
            <w:tcW w:w="851"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851" w:type="dxa"/>
            <w:shd w:val="clear" w:color="auto" w:fill="auto"/>
            <w:vAlign w:val="center"/>
          </w:tcPr>
          <w:p>
            <w:pPr>
              <w:pStyle w:val="76"/>
              <w:widowControl w:val="0"/>
            </w:pPr>
          </w:p>
        </w:tc>
        <w:tc>
          <w:tcPr>
            <w:tcW w:w="425" w:type="dxa"/>
            <w:shd w:val="clear" w:color="auto" w:fill="auto"/>
            <w:vAlign w:val="center"/>
          </w:tcPr>
          <w:p>
            <w:pPr>
              <w:pStyle w:val="76"/>
              <w:widowControl w:val="0"/>
            </w:pPr>
          </w:p>
        </w:tc>
        <w:tc>
          <w:tcPr>
            <w:tcW w:w="567" w:type="dxa"/>
            <w:shd w:val="clear" w:color="auto" w:fill="auto"/>
            <w:vAlign w:val="center"/>
          </w:tcPr>
          <w:p>
            <w:pPr>
              <w:pStyle w:val="76"/>
              <w:widowControl w:val="0"/>
            </w:pPr>
          </w:p>
        </w:tc>
        <w:tc>
          <w:tcPr>
            <w:tcW w:w="567" w:type="dxa"/>
            <w:shd w:val="clear" w:color="auto" w:fill="auto"/>
            <w:vAlign w:val="center"/>
          </w:tcPr>
          <w:p>
            <w:pPr>
              <w:pStyle w:val="76"/>
              <w:widowControl w:val="0"/>
            </w:pPr>
          </w:p>
        </w:tc>
        <w:tc>
          <w:tcPr>
            <w:tcW w:w="546" w:type="dxa"/>
            <w:shd w:val="clear" w:color="auto" w:fill="auto"/>
            <w:vAlign w:val="center"/>
          </w:tcPr>
          <w:p>
            <w:pPr>
              <w:pStyle w:val="76"/>
              <w:widowControl w:val="0"/>
            </w:pPr>
          </w:p>
        </w:tc>
        <w:tc>
          <w:tcPr>
            <w:tcW w:w="718"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718" w:type="dxa"/>
            <w:shd w:val="clear" w:color="auto" w:fill="auto"/>
            <w:vAlign w:val="center"/>
          </w:tcPr>
          <w:p>
            <w:pPr>
              <w:pStyle w:val="76"/>
              <w:widowControl w:val="0"/>
            </w:pPr>
          </w:p>
        </w:tc>
        <w:tc>
          <w:tcPr>
            <w:tcW w:w="973" w:type="dxa"/>
            <w:shd w:val="clear" w:color="auto" w:fill="auto"/>
            <w:vAlign w:val="center"/>
          </w:tcPr>
          <w:p>
            <w:pPr>
              <w:pStyle w:val="76"/>
              <w:widowControl w:val="0"/>
            </w:pPr>
          </w:p>
        </w:tc>
        <w:tc>
          <w:tcPr>
            <w:tcW w:w="993"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425" w:type="dxa"/>
            <w:shd w:val="clear" w:color="auto" w:fill="auto"/>
            <w:vAlign w:val="center"/>
          </w:tcPr>
          <w:p>
            <w:pPr>
              <w:pStyle w:val="76"/>
              <w:widowControl w:val="0"/>
            </w:pPr>
          </w:p>
        </w:tc>
        <w:tc>
          <w:tcPr>
            <w:tcW w:w="851"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851" w:type="dxa"/>
            <w:shd w:val="clear" w:color="auto" w:fill="auto"/>
            <w:vAlign w:val="center"/>
          </w:tcPr>
          <w:p>
            <w:pPr>
              <w:pStyle w:val="76"/>
              <w:widowControl w:val="0"/>
            </w:pPr>
          </w:p>
        </w:tc>
        <w:tc>
          <w:tcPr>
            <w:tcW w:w="425" w:type="dxa"/>
            <w:shd w:val="clear" w:color="auto" w:fill="auto"/>
            <w:vAlign w:val="center"/>
          </w:tcPr>
          <w:p>
            <w:pPr>
              <w:pStyle w:val="76"/>
              <w:widowControl w:val="0"/>
            </w:pPr>
          </w:p>
        </w:tc>
        <w:tc>
          <w:tcPr>
            <w:tcW w:w="567" w:type="dxa"/>
            <w:shd w:val="clear" w:color="auto" w:fill="auto"/>
            <w:vAlign w:val="center"/>
          </w:tcPr>
          <w:p>
            <w:pPr>
              <w:pStyle w:val="76"/>
              <w:widowControl w:val="0"/>
            </w:pPr>
          </w:p>
        </w:tc>
        <w:tc>
          <w:tcPr>
            <w:tcW w:w="567" w:type="dxa"/>
            <w:shd w:val="clear" w:color="auto" w:fill="auto"/>
            <w:vAlign w:val="center"/>
          </w:tcPr>
          <w:p>
            <w:pPr>
              <w:pStyle w:val="76"/>
              <w:widowControl w:val="0"/>
            </w:pPr>
          </w:p>
        </w:tc>
        <w:tc>
          <w:tcPr>
            <w:tcW w:w="546" w:type="dxa"/>
            <w:shd w:val="clear" w:color="auto" w:fill="auto"/>
            <w:vAlign w:val="center"/>
          </w:tcPr>
          <w:p>
            <w:pPr>
              <w:pStyle w:val="76"/>
              <w:widowControl w:val="0"/>
            </w:pPr>
          </w:p>
        </w:tc>
        <w:tc>
          <w:tcPr>
            <w:tcW w:w="718"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718" w:type="dxa"/>
            <w:shd w:val="clear" w:color="auto" w:fill="auto"/>
            <w:vAlign w:val="center"/>
          </w:tcPr>
          <w:p>
            <w:pPr>
              <w:pStyle w:val="76"/>
              <w:widowControl w:val="0"/>
            </w:pPr>
          </w:p>
        </w:tc>
        <w:tc>
          <w:tcPr>
            <w:tcW w:w="973" w:type="dxa"/>
            <w:shd w:val="clear" w:color="auto" w:fill="auto"/>
            <w:vAlign w:val="center"/>
          </w:tcPr>
          <w:p>
            <w:pPr>
              <w:pStyle w:val="76"/>
              <w:widowControl w:val="0"/>
            </w:pPr>
          </w:p>
        </w:tc>
        <w:tc>
          <w:tcPr>
            <w:tcW w:w="993"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425" w:type="dxa"/>
            <w:shd w:val="clear" w:color="auto" w:fill="auto"/>
            <w:vAlign w:val="center"/>
          </w:tcPr>
          <w:p>
            <w:pPr>
              <w:pStyle w:val="76"/>
              <w:widowControl w:val="0"/>
            </w:pPr>
          </w:p>
        </w:tc>
        <w:tc>
          <w:tcPr>
            <w:tcW w:w="851"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851" w:type="dxa"/>
            <w:shd w:val="clear" w:color="auto" w:fill="auto"/>
            <w:vAlign w:val="center"/>
          </w:tcPr>
          <w:p>
            <w:pPr>
              <w:pStyle w:val="76"/>
              <w:widowControl w:val="0"/>
            </w:pPr>
          </w:p>
        </w:tc>
        <w:tc>
          <w:tcPr>
            <w:tcW w:w="425" w:type="dxa"/>
            <w:shd w:val="clear" w:color="auto" w:fill="auto"/>
            <w:vAlign w:val="center"/>
          </w:tcPr>
          <w:p>
            <w:pPr>
              <w:pStyle w:val="76"/>
              <w:widowControl w:val="0"/>
            </w:pPr>
          </w:p>
        </w:tc>
        <w:tc>
          <w:tcPr>
            <w:tcW w:w="567" w:type="dxa"/>
            <w:shd w:val="clear" w:color="auto" w:fill="auto"/>
            <w:vAlign w:val="center"/>
          </w:tcPr>
          <w:p>
            <w:pPr>
              <w:pStyle w:val="76"/>
              <w:widowControl w:val="0"/>
            </w:pPr>
          </w:p>
        </w:tc>
        <w:tc>
          <w:tcPr>
            <w:tcW w:w="567" w:type="dxa"/>
            <w:shd w:val="clear" w:color="auto" w:fill="auto"/>
            <w:vAlign w:val="center"/>
          </w:tcPr>
          <w:p>
            <w:pPr>
              <w:pStyle w:val="76"/>
              <w:widowControl w:val="0"/>
            </w:pPr>
          </w:p>
        </w:tc>
        <w:tc>
          <w:tcPr>
            <w:tcW w:w="546" w:type="dxa"/>
            <w:shd w:val="clear" w:color="auto" w:fill="auto"/>
            <w:vAlign w:val="center"/>
          </w:tcPr>
          <w:p>
            <w:pPr>
              <w:pStyle w:val="76"/>
              <w:widowControl w:val="0"/>
            </w:pPr>
          </w:p>
        </w:tc>
        <w:tc>
          <w:tcPr>
            <w:tcW w:w="718"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718" w:type="dxa"/>
            <w:shd w:val="clear" w:color="auto" w:fill="auto"/>
            <w:vAlign w:val="center"/>
          </w:tcPr>
          <w:p>
            <w:pPr>
              <w:pStyle w:val="76"/>
              <w:widowControl w:val="0"/>
            </w:pPr>
          </w:p>
        </w:tc>
        <w:tc>
          <w:tcPr>
            <w:tcW w:w="973" w:type="dxa"/>
            <w:shd w:val="clear" w:color="auto" w:fill="auto"/>
            <w:vAlign w:val="center"/>
          </w:tcPr>
          <w:p>
            <w:pPr>
              <w:pStyle w:val="76"/>
              <w:widowControl w:val="0"/>
            </w:pPr>
          </w:p>
        </w:tc>
        <w:tc>
          <w:tcPr>
            <w:tcW w:w="993"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425" w:type="dxa"/>
            <w:shd w:val="clear" w:color="auto" w:fill="auto"/>
            <w:vAlign w:val="center"/>
          </w:tcPr>
          <w:p>
            <w:pPr>
              <w:pStyle w:val="76"/>
              <w:widowControl w:val="0"/>
            </w:pPr>
          </w:p>
        </w:tc>
        <w:tc>
          <w:tcPr>
            <w:tcW w:w="851"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851" w:type="dxa"/>
            <w:shd w:val="clear" w:color="auto" w:fill="auto"/>
            <w:vAlign w:val="center"/>
          </w:tcPr>
          <w:p>
            <w:pPr>
              <w:pStyle w:val="76"/>
              <w:widowControl w:val="0"/>
            </w:pPr>
          </w:p>
        </w:tc>
        <w:tc>
          <w:tcPr>
            <w:tcW w:w="425" w:type="dxa"/>
            <w:shd w:val="clear" w:color="auto" w:fill="auto"/>
            <w:vAlign w:val="center"/>
          </w:tcPr>
          <w:p>
            <w:pPr>
              <w:pStyle w:val="76"/>
              <w:widowControl w:val="0"/>
            </w:pPr>
          </w:p>
        </w:tc>
        <w:tc>
          <w:tcPr>
            <w:tcW w:w="567" w:type="dxa"/>
            <w:shd w:val="clear" w:color="auto" w:fill="auto"/>
            <w:vAlign w:val="center"/>
          </w:tcPr>
          <w:p>
            <w:pPr>
              <w:pStyle w:val="76"/>
              <w:widowControl w:val="0"/>
            </w:pPr>
          </w:p>
        </w:tc>
        <w:tc>
          <w:tcPr>
            <w:tcW w:w="567" w:type="dxa"/>
            <w:shd w:val="clear" w:color="auto" w:fill="auto"/>
            <w:vAlign w:val="center"/>
          </w:tcPr>
          <w:p>
            <w:pPr>
              <w:pStyle w:val="76"/>
              <w:widowControl w:val="0"/>
            </w:pPr>
          </w:p>
        </w:tc>
        <w:tc>
          <w:tcPr>
            <w:tcW w:w="546" w:type="dxa"/>
            <w:shd w:val="clear" w:color="auto" w:fill="auto"/>
            <w:vAlign w:val="center"/>
          </w:tcPr>
          <w:p>
            <w:pPr>
              <w:pStyle w:val="76"/>
              <w:widowControl w:val="0"/>
            </w:pPr>
          </w:p>
        </w:tc>
        <w:tc>
          <w:tcPr>
            <w:tcW w:w="718"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718" w:type="dxa"/>
            <w:shd w:val="clear" w:color="auto" w:fill="auto"/>
            <w:vAlign w:val="center"/>
          </w:tcPr>
          <w:p>
            <w:pPr>
              <w:pStyle w:val="76"/>
              <w:widowControl w:val="0"/>
            </w:pPr>
          </w:p>
        </w:tc>
        <w:tc>
          <w:tcPr>
            <w:tcW w:w="973" w:type="dxa"/>
            <w:shd w:val="clear" w:color="auto" w:fill="auto"/>
            <w:vAlign w:val="center"/>
          </w:tcPr>
          <w:p>
            <w:pPr>
              <w:pStyle w:val="76"/>
              <w:widowControl w:val="0"/>
            </w:pPr>
          </w:p>
        </w:tc>
        <w:tc>
          <w:tcPr>
            <w:tcW w:w="993"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425" w:type="dxa"/>
            <w:shd w:val="clear" w:color="auto" w:fill="auto"/>
            <w:vAlign w:val="center"/>
          </w:tcPr>
          <w:p>
            <w:pPr>
              <w:pStyle w:val="76"/>
              <w:widowControl w:val="0"/>
            </w:pPr>
          </w:p>
        </w:tc>
        <w:tc>
          <w:tcPr>
            <w:tcW w:w="851"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851" w:type="dxa"/>
            <w:shd w:val="clear" w:color="auto" w:fill="auto"/>
            <w:vAlign w:val="center"/>
          </w:tcPr>
          <w:p>
            <w:pPr>
              <w:pStyle w:val="76"/>
              <w:widowControl w:val="0"/>
            </w:pPr>
          </w:p>
        </w:tc>
        <w:tc>
          <w:tcPr>
            <w:tcW w:w="425" w:type="dxa"/>
            <w:shd w:val="clear" w:color="auto" w:fill="auto"/>
            <w:vAlign w:val="center"/>
          </w:tcPr>
          <w:p>
            <w:pPr>
              <w:pStyle w:val="76"/>
              <w:widowControl w:val="0"/>
            </w:pPr>
          </w:p>
        </w:tc>
        <w:tc>
          <w:tcPr>
            <w:tcW w:w="567" w:type="dxa"/>
            <w:shd w:val="clear" w:color="auto" w:fill="auto"/>
            <w:vAlign w:val="center"/>
          </w:tcPr>
          <w:p>
            <w:pPr>
              <w:pStyle w:val="76"/>
              <w:widowControl w:val="0"/>
            </w:pPr>
          </w:p>
        </w:tc>
        <w:tc>
          <w:tcPr>
            <w:tcW w:w="567" w:type="dxa"/>
            <w:shd w:val="clear" w:color="auto" w:fill="auto"/>
            <w:vAlign w:val="center"/>
          </w:tcPr>
          <w:p>
            <w:pPr>
              <w:pStyle w:val="76"/>
              <w:widowControl w:val="0"/>
            </w:pPr>
          </w:p>
        </w:tc>
        <w:tc>
          <w:tcPr>
            <w:tcW w:w="546" w:type="dxa"/>
            <w:shd w:val="clear" w:color="auto" w:fill="auto"/>
            <w:vAlign w:val="center"/>
          </w:tcPr>
          <w:p>
            <w:pPr>
              <w:pStyle w:val="76"/>
              <w:widowControl w:val="0"/>
            </w:pPr>
          </w:p>
        </w:tc>
        <w:tc>
          <w:tcPr>
            <w:tcW w:w="718"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718" w:type="dxa"/>
            <w:shd w:val="clear" w:color="auto" w:fill="auto"/>
            <w:vAlign w:val="center"/>
          </w:tcPr>
          <w:p>
            <w:pPr>
              <w:pStyle w:val="76"/>
              <w:widowControl w:val="0"/>
            </w:pPr>
          </w:p>
        </w:tc>
        <w:tc>
          <w:tcPr>
            <w:tcW w:w="973" w:type="dxa"/>
            <w:shd w:val="clear" w:color="auto" w:fill="auto"/>
            <w:vAlign w:val="center"/>
          </w:tcPr>
          <w:p>
            <w:pPr>
              <w:pStyle w:val="76"/>
              <w:widowControl w:val="0"/>
            </w:pPr>
          </w:p>
        </w:tc>
        <w:tc>
          <w:tcPr>
            <w:tcW w:w="993"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425" w:type="dxa"/>
            <w:shd w:val="clear" w:color="auto" w:fill="auto"/>
            <w:vAlign w:val="center"/>
          </w:tcPr>
          <w:p>
            <w:pPr>
              <w:pStyle w:val="76"/>
              <w:widowControl w:val="0"/>
            </w:pPr>
          </w:p>
        </w:tc>
        <w:tc>
          <w:tcPr>
            <w:tcW w:w="851"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851" w:type="dxa"/>
            <w:shd w:val="clear" w:color="auto" w:fill="auto"/>
            <w:vAlign w:val="center"/>
          </w:tcPr>
          <w:p>
            <w:pPr>
              <w:pStyle w:val="76"/>
              <w:widowControl w:val="0"/>
            </w:pPr>
          </w:p>
        </w:tc>
        <w:tc>
          <w:tcPr>
            <w:tcW w:w="425" w:type="dxa"/>
            <w:shd w:val="clear" w:color="auto" w:fill="auto"/>
            <w:vAlign w:val="center"/>
          </w:tcPr>
          <w:p>
            <w:pPr>
              <w:pStyle w:val="76"/>
              <w:widowControl w:val="0"/>
            </w:pPr>
          </w:p>
        </w:tc>
        <w:tc>
          <w:tcPr>
            <w:tcW w:w="567" w:type="dxa"/>
            <w:shd w:val="clear" w:color="auto" w:fill="auto"/>
            <w:vAlign w:val="center"/>
          </w:tcPr>
          <w:p>
            <w:pPr>
              <w:pStyle w:val="76"/>
              <w:widowControl w:val="0"/>
            </w:pPr>
          </w:p>
        </w:tc>
        <w:tc>
          <w:tcPr>
            <w:tcW w:w="567" w:type="dxa"/>
            <w:shd w:val="clear" w:color="auto" w:fill="auto"/>
            <w:vAlign w:val="center"/>
          </w:tcPr>
          <w:p>
            <w:pPr>
              <w:pStyle w:val="76"/>
              <w:widowControl w:val="0"/>
            </w:pPr>
          </w:p>
        </w:tc>
        <w:tc>
          <w:tcPr>
            <w:tcW w:w="546" w:type="dxa"/>
            <w:shd w:val="clear" w:color="auto" w:fill="auto"/>
            <w:vAlign w:val="center"/>
          </w:tcPr>
          <w:p>
            <w:pPr>
              <w:pStyle w:val="76"/>
              <w:widowControl w:val="0"/>
            </w:pPr>
          </w:p>
        </w:tc>
        <w:tc>
          <w:tcPr>
            <w:tcW w:w="718"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718" w:type="dxa"/>
            <w:shd w:val="clear" w:color="auto" w:fill="auto"/>
            <w:vAlign w:val="center"/>
          </w:tcPr>
          <w:p>
            <w:pPr>
              <w:pStyle w:val="76"/>
              <w:widowControl w:val="0"/>
            </w:pPr>
          </w:p>
        </w:tc>
        <w:tc>
          <w:tcPr>
            <w:tcW w:w="973" w:type="dxa"/>
            <w:shd w:val="clear" w:color="auto" w:fill="auto"/>
            <w:vAlign w:val="center"/>
          </w:tcPr>
          <w:p>
            <w:pPr>
              <w:pStyle w:val="76"/>
              <w:widowControl w:val="0"/>
            </w:pPr>
          </w:p>
        </w:tc>
        <w:tc>
          <w:tcPr>
            <w:tcW w:w="993"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425" w:type="dxa"/>
            <w:shd w:val="clear" w:color="auto" w:fill="auto"/>
            <w:vAlign w:val="center"/>
          </w:tcPr>
          <w:p>
            <w:pPr>
              <w:pStyle w:val="76"/>
              <w:widowControl w:val="0"/>
            </w:pPr>
          </w:p>
        </w:tc>
        <w:tc>
          <w:tcPr>
            <w:tcW w:w="851"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851" w:type="dxa"/>
            <w:shd w:val="clear" w:color="auto" w:fill="auto"/>
            <w:vAlign w:val="center"/>
          </w:tcPr>
          <w:p>
            <w:pPr>
              <w:pStyle w:val="76"/>
              <w:widowControl w:val="0"/>
            </w:pPr>
          </w:p>
        </w:tc>
        <w:tc>
          <w:tcPr>
            <w:tcW w:w="425" w:type="dxa"/>
            <w:shd w:val="clear" w:color="auto" w:fill="auto"/>
            <w:vAlign w:val="center"/>
          </w:tcPr>
          <w:p>
            <w:pPr>
              <w:pStyle w:val="76"/>
              <w:widowControl w:val="0"/>
            </w:pPr>
          </w:p>
        </w:tc>
        <w:tc>
          <w:tcPr>
            <w:tcW w:w="567" w:type="dxa"/>
            <w:shd w:val="clear" w:color="auto" w:fill="auto"/>
            <w:vAlign w:val="center"/>
          </w:tcPr>
          <w:p>
            <w:pPr>
              <w:pStyle w:val="76"/>
              <w:widowControl w:val="0"/>
            </w:pPr>
          </w:p>
        </w:tc>
        <w:tc>
          <w:tcPr>
            <w:tcW w:w="567" w:type="dxa"/>
            <w:shd w:val="clear" w:color="auto" w:fill="auto"/>
            <w:vAlign w:val="center"/>
          </w:tcPr>
          <w:p>
            <w:pPr>
              <w:pStyle w:val="76"/>
              <w:widowControl w:val="0"/>
            </w:pPr>
          </w:p>
        </w:tc>
        <w:tc>
          <w:tcPr>
            <w:tcW w:w="546" w:type="dxa"/>
            <w:shd w:val="clear" w:color="auto" w:fill="auto"/>
            <w:vAlign w:val="center"/>
          </w:tcPr>
          <w:p>
            <w:pPr>
              <w:pStyle w:val="76"/>
              <w:widowControl w:val="0"/>
            </w:pPr>
          </w:p>
        </w:tc>
        <w:tc>
          <w:tcPr>
            <w:tcW w:w="718"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718" w:type="dxa"/>
            <w:shd w:val="clear" w:color="auto" w:fill="auto"/>
            <w:vAlign w:val="center"/>
          </w:tcPr>
          <w:p>
            <w:pPr>
              <w:pStyle w:val="76"/>
              <w:widowControl w:val="0"/>
            </w:pPr>
          </w:p>
        </w:tc>
        <w:tc>
          <w:tcPr>
            <w:tcW w:w="973" w:type="dxa"/>
            <w:shd w:val="clear" w:color="auto" w:fill="auto"/>
            <w:vAlign w:val="center"/>
          </w:tcPr>
          <w:p>
            <w:pPr>
              <w:pStyle w:val="76"/>
              <w:widowControl w:val="0"/>
            </w:pPr>
          </w:p>
        </w:tc>
        <w:tc>
          <w:tcPr>
            <w:tcW w:w="993"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425" w:type="dxa"/>
            <w:shd w:val="clear" w:color="auto" w:fill="auto"/>
            <w:vAlign w:val="center"/>
          </w:tcPr>
          <w:p>
            <w:pPr>
              <w:pStyle w:val="76"/>
              <w:widowControl w:val="0"/>
            </w:pPr>
          </w:p>
        </w:tc>
        <w:tc>
          <w:tcPr>
            <w:tcW w:w="851"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851" w:type="dxa"/>
            <w:shd w:val="clear" w:color="auto" w:fill="auto"/>
            <w:vAlign w:val="center"/>
          </w:tcPr>
          <w:p>
            <w:pPr>
              <w:pStyle w:val="76"/>
              <w:widowControl w:val="0"/>
            </w:pPr>
          </w:p>
        </w:tc>
        <w:tc>
          <w:tcPr>
            <w:tcW w:w="425" w:type="dxa"/>
            <w:shd w:val="clear" w:color="auto" w:fill="auto"/>
            <w:vAlign w:val="center"/>
          </w:tcPr>
          <w:p>
            <w:pPr>
              <w:pStyle w:val="76"/>
              <w:widowControl w:val="0"/>
            </w:pPr>
          </w:p>
        </w:tc>
        <w:tc>
          <w:tcPr>
            <w:tcW w:w="567" w:type="dxa"/>
            <w:shd w:val="clear" w:color="auto" w:fill="auto"/>
            <w:vAlign w:val="center"/>
          </w:tcPr>
          <w:p>
            <w:pPr>
              <w:pStyle w:val="76"/>
              <w:widowControl w:val="0"/>
            </w:pPr>
          </w:p>
        </w:tc>
        <w:tc>
          <w:tcPr>
            <w:tcW w:w="567" w:type="dxa"/>
            <w:shd w:val="clear" w:color="auto" w:fill="auto"/>
            <w:vAlign w:val="center"/>
          </w:tcPr>
          <w:p>
            <w:pPr>
              <w:pStyle w:val="76"/>
              <w:widowControl w:val="0"/>
            </w:pPr>
          </w:p>
        </w:tc>
        <w:tc>
          <w:tcPr>
            <w:tcW w:w="546" w:type="dxa"/>
            <w:shd w:val="clear" w:color="auto" w:fill="auto"/>
            <w:vAlign w:val="center"/>
          </w:tcPr>
          <w:p>
            <w:pPr>
              <w:pStyle w:val="76"/>
              <w:widowControl w:val="0"/>
            </w:pPr>
          </w:p>
        </w:tc>
        <w:tc>
          <w:tcPr>
            <w:tcW w:w="718"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718" w:type="dxa"/>
            <w:shd w:val="clear" w:color="auto" w:fill="auto"/>
            <w:vAlign w:val="center"/>
          </w:tcPr>
          <w:p>
            <w:pPr>
              <w:pStyle w:val="76"/>
              <w:widowControl w:val="0"/>
            </w:pPr>
          </w:p>
        </w:tc>
        <w:tc>
          <w:tcPr>
            <w:tcW w:w="973" w:type="dxa"/>
            <w:shd w:val="clear" w:color="auto" w:fill="auto"/>
            <w:vAlign w:val="center"/>
          </w:tcPr>
          <w:p>
            <w:pPr>
              <w:pStyle w:val="76"/>
              <w:widowControl w:val="0"/>
            </w:pPr>
          </w:p>
        </w:tc>
        <w:tc>
          <w:tcPr>
            <w:tcW w:w="993"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425" w:type="dxa"/>
            <w:shd w:val="clear" w:color="auto" w:fill="auto"/>
            <w:vAlign w:val="center"/>
          </w:tcPr>
          <w:p>
            <w:pPr>
              <w:pStyle w:val="76"/>
              <w:widowControl w:val="0"/>
            </w:pPr>
          </w:p>
        </w:tc>
        <w:tc>
          <w:tcPr>
            <w:tcW w:w="851"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851" w:type="dxa"/>
            <w:shd w:val="clear" w:color="auto" w:fill="auto"/>
            <w:vAlign w:val="center"/>
          </w:tcPr>
          <w:p>
            <w:pPr>
              <w:pStyle w:val="76"/>
              <w:widowControl w:val="0"/>
            </w:pPr>
          </w:p>
        </w:tc>
        <w:tc>
          <w:tcPr>
            <w:tcW w:w="425" w:type="dxa"/>
            <w:shd w:val="clear" w:color="auto" w:fill="auto"/>
            <w:vAlign w:val="center"/>
          </w:tcPr>
          <w:p>
            <w:pPr>
              <w:pStyle w:val="76"/>
              <w:widowControl w:val="0"/>
            </w:pPr>
          </w:p>
        </w:tc>
        <w:tc>
          <w:tcPr>
            <w:tcW w:w="567" w:type="dxa"/>
            <w:shd w:val="clear" w:color="auto" w:fill="auto"/>
            <w:vAlign w:val="center"/>
          </w:tcPr>
          <w:p>
            <w:pPr>
              <w:pStyle w:val="76"/>
              <w:widowControl w:val="0"/>
            </w:pPr>
          </w:p>
        </w:tc>
        <w:tc>
          <w:tcPr>
            <w:tcW w:w="567" w:type="dxa"/>
            <w:shd w:val="clear" w:color="auto" w:fill="auto"/>
            <w:vAlign w:val="center"/>
          </w:tcPr>
          <w:p>
            <w:pPr>
              <w:pStyle w:val="76"/>
              <w:widowControl w:val="0"/>
            </w:pPr>
          </w:p>
        </w:tc>
        <w:tc>
          <w:tcPr>
            <w:tcW w:w="546" w:type="dxa"/>
            <w:shd w:val="clear" w:color="auto" w:fill="auto"/>
            <w:vAlign w:val="center"/>
          </w:tcPr>
          <w:p>
            <w:pPr>
              <w:pStyle w:val="76"/>
              <w:widowControl w:val="0"/>
            </w:pPr>
          </w:p>
        </w:tc>
        <w:tc>
          <w:tcPr>
            <w:tcW w:w="718"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718" w:type="dxa"/>
            <w:shd w:val="clear" w:color="auto" w:fill="auto"/>
            <w:vAlign w:val="center"/>
          </w:tcPr>
          <w:p>
            <w:pPr>
              <w:pStyle w:val="76"/>
              <w:widowControl w:val="0"/>
            </w:pPr>
          </w:p>
        </w:tc>
        <w:tc>
          <w:tcPr>
            <w:tcW w:w="973" w:type="dxa"/>
            <w:shd w:val="clear" w:color="auto" w:fill="auto"/>
            <w:vAlign w:val="center"/>
          </w:tcPr>
          <w:p>
            <w:pPr>
              <w:pStyle w:val="76"/>
              <w:widowControl w:val="0"/>
            </w:pPr>
          </w:p>
        </w:tc>
        <w:tc>
          <w:tcPr>
            <w:tcW w:w="993"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425" w:type="dxa"/>
            <w:shd w:val="clear" w:color="auto" w:fill="auto"/>
            <w:vAlign w:val="center"/>
          </w:tcPr>
          <w:p>
            <w:pPr>
              <w:pStyle w:val="76"/>
              <w:widowControl w:val="0"/>
            </w:pPr>
          </w:p>
        </w:tc>
        <w:tc>
          <w:tcPr>
            <w:tcW w:w="851"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851" w:type="dxa"/>
            <w:shd w:val="clear" w:color="auto" w:fill="auto"/>
            <w:vAlign w:val="center"/>
          </w:tcPr>
          <w:p>
            <w:pPr>
              <w:pStyle w:val="76"/>
              <w:widowControl w:val="0"/>
            </w:pPr>
          </w:p>
        </w:tc>
        <w:tc>
          <w:tcPr>
            <w:tcW w:w="425" w:type="dxa"/>
            <w:shd w:val="clear" w:color="auto" w:fill="auto"/>
            <w:vAlign w:val="center"/>
          </w:tcPr>
          <w:p>
            <w:pPr>
              <w:pStyle w:val="76"/>
              <w:widowControl w:val="0"/>
            </w:pPr>
          </w:p>
        </w:tc>
        <w:tc>
          <w:tcPr>
            <w:tcW w:w="567" w:type="dxa"/>
            <w:shd w:val="clear" w:color="auto" w:fill="auto"/>
            <w:vAlign w:val="center"/>
          </w:tcPr>
          <w:p>
            <w:pPr>
              <w:pStyle w:val="76"/>
              <w:widowControl w:val="0"/>
            </w:pPr>
          </w:p>
        </w:tc>
        <w:tc>
          <w:tcPr>
            <w:tcW w:w="567" w:type="dxa"/>
            <w:shd w:val="clear" w:color="auto" w:fill="auto"/>
            <w:vAlign w:val="center"/>
          </w:tcPr>
          <w:p>
            <w:pPr>
              <w:pStyle w:val="76"/>
              <w:widowControl w:val="0"/>
            </w:pPr>
          </w:p>
        </w:tc>
        <w:tc>
          <w:tcPr>
            <w:tcW w:w="546" w:type="dxa"/>
            <w:shd w:val="clear" w:color="auto" w:fill="auto"/>
            <w:vAlign w:val="center"/>
          </w:tcPr>
          <w:p>
            <w:pPr>
              <w:pStyle w:val="76"/>
              <w:widowControl w:val="0"/>
            </w:pPr>
          </w:p>
        </w:tc>
        <w:tc>
          <w:tcPr>
            <w:tcW w:w="718"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718" w:type="dxa"/>
            <w:shd w:val="clear" w:color="auto" w:fill="auto"/>
            <w:vAlign w:val="center"/>
          </w:tcPr>
          <w:p>
            <w:pPr>
              <w:pStyle w:val="76"/>
              <w:widowControl w:val="0"/>
            </w:pPr>
          </w:p>
        </w:tc>
        <w:tc>
          <w:tcPr>
            <w:tcW w:w="973" w:type="dxa"/>
            <w:shd w:val="clear" w:color="auto" w:fill="auto"/>
            <w:vAlign w:val="center"/>
          </w:tcPr>
          <w:p>
            <w:pPr>
              <w:pStyle w:val="76"/>
              <w:widowControl w:val="0"/>
            </w:pPr>
          </w:p>
        </w:tc>
        <w:tc>
          <w:tcPr>
            <w:tcW w:w="993"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425" w:type="dxa"/>
            <w:shd w:val="clear" w:color="auto" w:fill="auto"/>
            <w:vAlign w:val="center"/>
          </w:tcPr>
          <w:p>
            <w:pPr>
              <w:pStyle w:val="76"/>
              <w:widowControl w:val="0"/>
            </w:pPr>
          </w:p>
        </w:tc>
        <w:tc>
          <w:tcPr>
            <w:tcW w:w="851"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851" w:type="dxa"/>
            <w:shd w:val="clear" w:color="auto" w:fill="auto"/>
            <w:vAlign w:val="center"/>
          </w:tcPr>
          <w:p>
            <w:pPr>
              <w:pStyle w:val="76"/>
              <w:widowControl w:val="0"/>
            </w:pPr>
          </w:p>
        </w:tc>
        <w:tc>
          <w:tcPr>
            <w:tcW w:w="425" w:type="dxa"/>
            <w:shd w:val="clear" w:color="auto" w:fill="auto"/>
            <w:vAlign w:val="center"/>
          </w:tcPr>
          <w:p>
            <w:pPr>
              <w:pStyle w:val="76"/>
              <w:widowControl w:val="0"/>
            </w:pPr>
          </w:p>
        </w:tc>
        <w:tc>
          <w:tcPr>
            <w:tcW w:w="567" w:type="dxa"/>
            <w:shd w:val="clear" w:color="auto" w:fill="auto"/>
            <w:vAlign w:val="center"/>
          </w:tcPr>
          <w:p>
            <w:pPr>
              <w:pStyle w:val="76"/>
              <w:widowControl w:val="0"/>
            </w:pPr>
          </w:p>
        </w:tc>
        <w:tc>
          <w:tcPr>
            <w:tcW w:w="567" w:type="dxa"/>
            <w:shd w:val="clear" w:color="auto" w:fill="auto"/>
            <w:vAlign w:val="center"/>
          </w:tcPr>
          <w:p>
            <w:pPr>
              <w:pStyle w:val="76"/>
              <w:widowControl w:val="0"/>
            </w:pPr>
          </w:p>
        </w:tc>
        <w:tc>
          <w:tcPr>
            <w:tcW w:w="546" w:type="dxa"/>
            <w:shd w:val="clear" w:color="auto" w:fill="auto"/>
            <w:vAlign w:val="center"/>
          </w:tcPr>
          <w:p>
            <w:pPr>
              <w:pStyle w:val="76"/>
              <w:widowControl w:val="0"/>
            </w:pPr>
          </w:p>
        </w:tc>
        <w:tc>
          <w:tcPr>
            <w:tcW w:w="718"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718" w:type="dxa"/>
            <w:shd w:val="clear" w:color="auto" w:fill="auto"/>
            <w:vAlign w:val="center"/>
          </w:tcPr>
          <w:p>
            <w:pPr>
              <w:pStyle w:val="76"/>
              <w:widowControl w:val="0"/>
            </w:pPr>
          </w:p>
        </w:tc>
        <w:tc>
          <w:tcPr>
            <w:tcW w:w="973" w:type="dxa"/>
            <w:shd w:val="clear" w:color="auto" w:fill="auto"/>
            <w:vAlign w:val="center"/>
          </w:tcPr>
          <w:p>
            <w:pPr>
              <w:pStyle w:val="76"/>
              <w:widowControl w:val="0"/>
            </w:pPr>
          </w:p>
        </w:tc>
        <w:tc>
          <w:tcPr>
            <w:tcW w:w="993"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425" w:type="dxa"/>
            <w:shd w:val="clear" w:color="auto" w:fill="auto"/>
            <w:vAlign w:val="center"/>
          </w:tcPr>
          <w:p>
            <w:pPr>
              <w:pStyle w:val="76"/>
              <w:widowControl w:val="0"/>
            </w:pPr>
          </w:p>
        </w:tc>
        <w:tc>
          <w:tcPr>
            <w:tcW w:w="851"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851" w:type="dxa"/>
            <w:shd w:val="clear" w:color="auto" w:fill="auto"/>
            <w:vAlign w:val="center"/>
          </w:tcPr>
          <w:p>
            <w:pPr>
              <w:pStyle w:val="76"/>
              <w:widowControl w:val="0"/>
            </w:pPr>
          </w:p>
        </w:tc>
        <w:tc>
          <w:tcPr>
            <w:tcW w:w="425" w:type="dxa"/>
            <w:shd w:val="clear" w:color="auto" w:fill="auto"/>
            <w:vAlign w:val="center"/>
          </w:tcPr>
          <w:p>
            <w:pPr>
              <w:pStyle w:val="76"/>
              <w:widowControl w:val="0"/>
            </w:pPr>
          </w:p>
        </w:tc>
        <w:tc>
          <w:tcPr>
            <w:tcW w:w="567" w:type="dxa"/>
            <w:shd w:val="clear" w:color="auto" w:fill="auto"/>
            <w:vAlign w:val="center"/>
          </w:tcPr>
          <w:p>
            <w:pPr>
              <w:pStyle w:val="76"/>
              <w:widowControl w:val="0"/>
            </w:pPr>
          </w:p>
        </w:tc>
        <w:tc>
          <w:tcPr>
            <w:tcW w:w="567" w:type="dxa"/>
            <w:shd w:val="clear" w:color="auto" w:fill="auto"/>
            <w:vAlign w:val="center"/>
          </w:tcPr>
          <w:p>
            <w:pPr>
              <w:pStyle w:val="76"/>
              <w:widowControl w:val="0"/>
            </w:pPr>
          </w:p>
        </w:tc>
        <w:tc>
          <w:tcPr>
            <w:tcW w:w="546" w:type="dxa"/>
            <w:shd w:val="clear" w:color="auto" w:fill="auto"/>
            <w:vAlign w:val="center"/>
          </w:tcPr>
          <w:p>
            <w:pPr>
              <w:pStyle w:val="76"/>
              <w:widowControl w:val="0"/>
            </w:pPr>
          </w:p>
        </w:tc>
        <w:tc>
          <w:tcPr>
            <w:tcW w:w="718"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718" w:type="dxa"/>
            <w:shd w:val="clear" w:color="auto" w:fill="auto"/>
            <w:vAlign w:val="center"/>
          </w:tcPr>
          <w:p>
            <w:pPr>
              <w:pStyle w:val="76"/>
              <w:widowControl w:val="0"/>
            </w:pPr>
          </w:p>
        </w:tc>
        <w:tc>
          <w:tcPr>
            <w:tcW w:w="973" w:type="dxa"/>
            <w:shd w:val="clear" w:color="auto" w:fill="auto"/>
            <w:vAlign w:val="center"/>
          </w:tcPr>
          <w:p>
            <w:pPr>
              <w:pStyle w:val="76"/>
              <w:widowControl w:val="0"/>
            </w:pPr>
          </w:p>
        </w:tc>
        <w:tc>
          <w:tcPr>
            <w:tcW w:w="993"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425" w:type="dxa"/>
            <w:shd w:val="clear" w:color="auto" w:fill="auto"/>
            <w:vAlign w:val="center"/>
          </w:tcPr>
          <w:p>
            <w:pPr>
              <w:pStyle w:val="76"/>
              <w:widowControl w:val="0"/>
            </w:pPr>
          </w:p>
        </w:tc>
        <w:tc>
          <w:tcPr>
            <w:tcW w:w="851"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851" w:type="dxa"/>
            <w:shd w:val="clear" w:color="auto" w:fill="auto"/>
            <w:vAlign w:val="center"/>
          </w:tcPr>
          <w:p>
            <w:pPr>
              <w:pStyle w:val="76"/>
              <w:widowControl w:val="0"/>
            </w:pPr>
          </w:p>
        </w:tc>
        <w:tc>
          <w:tcPr>
            <w:tcW w:w="425" w:type="dxa"/>
            <w:shd w:val="clear" w:color="auto" w:fill="auto"/>
            <w:vAlign w:val="center"/>
          </w:tcPr>
          <w:p>
            <w:pPr>
              <w:pStyle w:val="76"/>
              <w:widowControl w:val="0"/>
            </w:pPr>
          </w:p>
        </w:tc>
        <w:tc>
          <w:tcPr>
            <w:tcW w:w="567" w:type="dxa"/>
            <w:shd w:val="clear" w:color="auto" w:fill="auto"/>
            <w:vAlign w:val="center"/>
          </w:tcPr>
          <w:p>
            <w:pPr>
              <w:pStyle w:val="76"/>
              <w:widowControl w:val="0"/>
            </w:pPr>
          </w:p>
        </w:tc>
        <w:tc>
          <w:tcPr>
            <w:tcW w:w="567" w:type="dxa"/>
            <w:shd w:val="clear" w:color="auto" w:fill="auto"/>
            <w:vAlign w:val="center"/>
          </w:tcPr>
          <w:p>
            <w:pPr>
              <w:pStyle w:val="76"/>
              <w:widowControl w:val="0"/>
            </w:pPr>
          </w:p>
        </w:tc>
        <w:tc>
          <w:tcPr>
            <w:tcW w:w="546" w:type="dxa"/>
            <w:shd w:val="clear" w:color="auto" w:fill="auto"/>
            <w:vAlign w:val="center"/>
          </w:tcPr>
          <w:p>
            <w:pPr>
              <w:pStyle w:val="76"/>
              <w:widowControl w:val="0"/>
            </w:pPr>
          </w:p>
        </w:tc>
        <w:tc>
          <w:tcPr>
            <w:tcW w:w="718"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718" w:type="dxa"/>
            <w:shd w:val="clear" w:color="auto" w:fill="auto"/>
            <w:vAlign w:val="center"/>
          </w:tcPr>
          <w:p>
            <w:pPr>
              <w:pStyle w:val="76"/>
              <w:widowControl w:val="0"/>
            </w:pPr>
          </w:p>
        </w:tc>
        <w:tc>
          <w:tcPr>
            <w:tcW w:w="973" w:type="dxa"/>
            <w:shd w:val="clear" w:color="auto" w:fill="auto"/>
            <w:vAlign w:val="center"/>
          </w:tcPr>
          <w:p>
            <w:pPr>
              <w:pStyle w:val="76"/>
              <w:widowControl w:val="0"/>
            </w:pPr>
          </w:p>
        </w:tc>
        <w:tc>
          <w:tcPr>
            <w:tcW w:w="993"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425" w:type="dxa"/>
            <w:shd w:val="clear" w:color="auto" w:fill="auto"/>
            <w:vAlign w:val="center"/>
          </w:tcPr>
          <w:p>
            <w:pPr>
              <w:pStyle w:val="76"/>
              <w:widowControl w:val="0"/>
            </w:pPr>
          </w:p>
        </w:tc>
        <w:tc>
          <w:tcPr>
            <w:tcW w:w="851"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851" w:type="dxa"/>
            <w:shd w:val="clear" w:color="auto" w:fill="auto"/>
            <w:vAlign w:val="center"/>
          </w:tcPr>
          <w:p>
            <w:pPr>
              <w:pStyle w:val="76"/>
              <w:widowControl w:val="0"/>
            </w:pPr>
          </w:p>
        </w:tc>
        <w:tc>
          <w:tcPr>
            <w:tcW w:w="425" w:type="dxa"/>
            <w:shd w:val="clear" w:color="auto" w:fill="auto"/>
            <w:vAlign w:val="center"/>
          </w:tcPr>
          <w:p>
            <w:pPr>
              <w:pStyle w:val="76"/>
              <w:widowControl w:val="0"/>
            </w:pPr>
          </w:p>
        </w:tc>
        <w:tc>
          <w:tcPr>
            <w:tcW w:w="567" w:type="dxa"/>
            <w:shd w:val="clear" w:color="auto" w:fill="auto"/>
            <w:vAlign w:val="center"/>
          </w:tcPr>
          <w:p>
            <w:pPr>
              <w:pStyle w:val="76"/>
              <w:widowControl w:val="0"/>
            </w:pPr>
          </w:p>
        </w:tc>
        <w:tc>
          <w:tcPr>
            <w:tcW w:w="567" w:type="dxa"/>
            <w:shd w:val="clear" w:color="auto" w:fill="auto"/>
            <w:vAlign w:val="center"/>
          </w:tcPr>
          <w:p>
            <w:pPr>
              <w:pStyle w:val="76"/>
              <w:widowControl w:val="0"/>
            </w:pPr>
          </w:p>
        </w:tc>
        <w:tc>
          <w:tcPr>
            <w:tcW w:w="546" w:type="dxa"/>
            <w:shd w:val="clear" w:color="auto" w:fill="auto"/>
            <w:vAlign w:val="center"/>
          </w:tcPr>
          <w:p>
            <w:pPr>
              <w:pStyle w:val="76"/>
              <w:widowControl w:val="0"/>
            </w:pPr>
          </w:p>
        </w:tc>
        <w:tc>
          <w:tcPr>
            <w:tcW w:w="718"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718" w:type="dxa"/>
            <w:shd w:val="clear" w:color="auto" w:fill="auto"/>
            <w:vAlign w:val="center"/>
          </w:tcPr>
          <w:p>
            <w:pPr>
              <w:pStyle w:val="76"/>
              <w:widowControl w:val="0"/>
            </w:pPr>
          </w:p>
        </w:tc>
        <w:tc>
          <w:tcPr>
            <w:tcW w:w="973" w:type="dxa"/>
            <w:shd w:val="clear" w:color="auto" w:fill="auto"/>
            <w:vAlign w:val="center"/>
          </w:tcPr>
          <w:p>
            <w:pPr>
              <w:pStyle w:val="76"/>
              <w:widowControl w:val="0"/>
            </w:pPr>
          </w:p>
        </w:tc>
        <w:tc>
          <w:tcPr>
            <w:tcW w:w="993"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425" w:type="dxa"/>
            <w:shd w:val="clear" w:color="auto" w:fill="auto"/>
            <w:vAlign w:val="center"/>
          </w:tcPr>
          <w:p>
            <w:pPr>
              <w:pStyle w:val="76"/>
              <w:widowControl w:val="0"/>
            </w:pPr>
          </w:p>
        </w:tc>
        <w:tc>
          <w:tcPr>
            <w:tcW w:w="851"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851" w:type="dxa"/>
            <w:shd w:val="clear" w:color="auto" w:fill="auto"/>
            <w:vAlign w:val="center"/>
          </w:tcPr>
          <w:p>
            <w:pPr>
              <w:pStyle w:val="76"/>
              <w:widowControl w:val="0"/>
            </w:pPr>
          </w:p>
        </w:tc>
        <w:tc>
          <w:tcPr>
            <w:tcW w:w="425" w:type="dxa"/>
            <w:shd w:val="clear" w:color="auto" w:fill="auto"/>
            <w:vAlign w:val="center"/>
          </w:tcPr>
          <w:p>
            <w:pPr>
              <w:pStyle w:val="76"/>
              <w:widowControl w:val="0"/>
            </w:pPr>
          </w:p>
        </w:tc>
        <w:tc>
          <w:tcPr>
            <w:tcW w:w="567" w:type="dxa"/>
            <w:shd w:val="clear" w:color="auto" w:fill="auto"/>
            <w:vAlign w:val="center"/>
          </w:tcPr>
          <w:p>
            <w:pPr>
              <w:pStyle w:val="76"/>
              <w:widowControl w:val="0"/>
            </w:pPr>
          </w:p>
        </w:tc>
        <w:tc>
          <w:tcPr>
            <w:tcW w:w="567" w:type="dxa"/>
            <w:shd w:val="clear" w:color="auto" w:fill="auto"/>
            <w:vAlign w:val="center"/>
          </w:tcPr>
          <w:p>
            <w:pPr>
              <w:pStyle w:val="76"/>
              <w:widowControl w:val="0"/>
            </w:pPr>
          </w:p>
        </w:tc>
        <w:tc>
          <w:tcPr>
            <w:tcW w:w="546" w:type="dxa"/>
            <w:shd w:val="clear" w:color="auto" w:fill="auto"/>
            <w:vAlign w:val="center"/>
          </w:tcPr>
          <w:p>
            <w:pPr>
              <w:pStyle w:val="76"/>
              <w:widowControl w:val="0"/>
            </w:pPr>
          </w:p>
        </w:tc>
        <w:tc>
          <w:tcPr>
            <w:tcW w:w="718"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718" w:type="dxa"/>
            <w:shd w:val="clear" w:color="auto" w:fill="auto"/>
            <w:vAlign w:val="center"/>
          </w:tcPr>
          <w:p>
            <w:pPr>
              <w:pStyle w:val="76"/>
              <w:widowControl w:val="0"/>
            </w:pPr>
          </w:p>
        </w:tc>
        <w:tc>
          <w:tcPr>
            <w:tcW w:w="973" w:type="dxa"/>
            <w:shd w:val="clear" w:color="auto" w:fill="auto"/>
            <w:vAlign w:val="center"/>
          </w:tcPr>
          <w:p>
            <w:pPr>
              <w:pStyle w:val="76"/>
              <w:widowControl w:val="0"/>
            </w:pPr>
          </w:p>
        </w:tc>
        <w:tc>
          <w:tcPr>
            <w:tcW w:w="993"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425" w:type="dxa"/>
            <w:shd w:val="clear" w:color="auto" w:fill="auto"/>
            <w:vAlign w:val="center"/>
          </w:tcPr>
          <w:p>
            <w:pPr>
              <w:pStyle w:val="76"/>
              <w:widowControl w:val="0"/>
            </w:pPr>
          </w:p>
        </w:tc>
        <w:tc>
          <w:tcPr>
            <w:tcW w:w="851"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851" w:type="dxa"/>
            <w:shd w:val="clear" w:color="auto" w:fill="auto"/>
            <w:vAlign w:val="center"/>
          </w:tcPr>
          <w:p>
            <w:pPr>
              <w:pStyle w:val="76"/>
              <w:widowControl w:val="0"/>
            </w:pPr>
          </w:p>
        </w:tc>
        <w:tc>
          <w:tcPr>
            <w:tcW w:w="425" w:type="dxa"/>
            <w:shd w:val="clear" w:color="auto" w:fill="auto"/>
            <w:vAlign w:val="center"/>
          </w:tcPr>
          <w:p>
            <w:pPr>
              <w:pStyle w:val="76"/>
              <w:widowControl w:val="0"/>
            </w:pPr>
          </w:p>
        </w:tc>
        <w:tc>
          <w:tcPr>
            <w:tcW w:w="567" w:type="dxa"/>
            <w:shd w:val="clear" w:color="auto" w:fill="auto"/>
            <w:vAlign w:val="center"/>
          </w:tcPr>
          <w:p>
            <w:pPr>
              <w:pStyle w:val="76"/>
              <w:widowControl w:val="0"/>
            </w:pPr>
          </w:p>
        </w:tc>
        <w:tc>
          <w:tcPr>
            <w:tcW w:w="567" w:type="dxa"/>
            <w:shd w:val="clear" w:color="auto" w:fill="auto"/>
            <w:vAlign w:val="center"/>
          </w:tcPr>
          <w:p>
            <w:pPr>
              <w:pStyle w:val="76"/>
              <w:widowControl w:val="0"/>
            </w:pPr>
          </w:p>
        </w:tc>
        <w:tc>
          <w:tcPr>
            <w:tcW w:w="546" w:type="dxa"/>
            <w:shd w:val="clear" w:color="auto" w:fill="auto"/>
            <w:vAlign w:val="center"/>
          </w:tcPr>
          <w:p>
            <w:pPr>
              <w:pStyle w:val="76"/>
              <w:widowControl w:val="0"/>
            </w:pPr>
          </w:p>
        </w:tc>
        <w:tc>
          <w:tcPr>
            <w:tcW w:w="718"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718" w:type="dxa"/>
            <w:shd w:val="clear" w:color="auto" w:fill="auto"/>
            <w:vAlign w:val="center"/>
          </w:tcPr>
          <w:p>
            <w:pPr>
              <w:pStyle w:val="76"/>
              <w:widowControl w:val="0"/>
            </w:pPr>
          </w:p>
        </w:tc>
        <w:tc>
          <w:tcPr>
            <w:tcW w:w="973" w:type="dxa"/>
            <w:shd w:val="clear" w:color="auto" w:fill="auto"/>
            <w:vAlign w:val="center"/>
          </w:tcPr>
          <w:p>
            <w:pPr>
              <w:pStyle w:val="76"/>
              <w:widowControl w:val="0"/>
            </w:pPr>
          </w:p>
        </w:tc>
        <w:tc>
          <w:tcPr>
            <w:tcW w:w="993"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425" w:type="dxa"/>
            <w:shd w:val="clear" w:color="auto" w:fill="auto"/>
            <w:vAlign w:val="center"/>
          </w:tcPr>
          <w:p>
            <w:pPr>
              <w:pStyle w:val="76"/>
              <w:widowControl w:val="0"/>
            </w:pPr>
          </w:p>
        </w:tc>
        <w:tc>
          <w:tcPr>
            <w:tcW w:w="851"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851" w:type="dxa"/>
            <w:shd w:val="clear" w:color="auto" w:fill="auto"/>
            <w:vAlign w:val="center"/>
          </w:tcPr>
          <w:p>
            <w:pPr>
              <w:pStyle w:val="76"/>
              <w:widowControl w:val="0"/>
            </w:pPr>
          </w:p>
        </w:tc>
        <w:tc>
          <w:tcPr>
            <w:tcW w:w="425" w:type="dxa"/>
            <w:shd w:val="clear" w:color="auto" w:fill="auto"/>
            <w:vAlign w:val="center"/>
          </w:tcPr>
          <w:p>
            <w:pPr>
              <w:pStyle w:val="76"/>
              <w:widowControl w:val="0"/>
            </w:pPr>
          </w:p>
        </w:tc>
        <w:tc>
          <w:tcPr>
            <w:tcW w:w="567" w:type="dxa"/>
            <w:shd w:val="clear" w:color="auto" w:fill="auto"/>
            <w:vAlign w:val="center"/>
          </w:tcPr>
          <w:p>
            <w:pPr>
              <w:pStyle w:val="76"/>
              <w:widowControl w:val="0"/>
            </w:pPr>
          </w:p>
        </w:tc>
        <w:tc>
          <w:tcPr>
            <w:tcW w:w="567" w:type="dxa"/>
            <w:shd w:val="clear" w:color="auto" w:fill="auto"/>
            <w:vAlign w:val="center"/>
          </w:tcPr>
          <w:p>
            <w:pPr>
              <w:pStyle w:val="76"/>
              <w:widowControl w:val="0"/>
            </w:pPr>
          </w:p>
        </w:tc>
        <w:tc>
          <w:tcPr>
            <w:tcW w:w="546" w:type="dxa"/>
            <w:shd w:val="clear" w:color="auto" w:fill="auto"/>
            <w:vAlign w:val="center"/>
          </w:tcPr>
          <w:p>
            <w:pPr>
              <w:pStyle w:val="76"/>
              <w:widowControl w:val="0"/>
            </w:pPr>
          </w:p>
        </w:tc>
        <w:tc>
          <w:tcPr>
            <w:tcW w:w="718"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718" w:type="dxa"/>
            <w:shd w:val="clear" w:color="auto" w:fill="auto"/>
            <w:vAlign w:val="center"/>
          </w:tcPr>
          <w:p>
            <w:pPr>
              <w:pStyle w:val="76"/>
              <w:widowControl w:val="0"/>
            </w:pPr>
          </w:p>
        </w:tc>
        <w:tc>
          <w:tcPr>
            <w:tcW w:w="973" w:type="dxa"/>
            <w:shd w:val="clear" w:color="auto" w:fill="auto"/>
            <w:vAlign w:val="center"/>
          </w:tcPr>
          <w:p>
            <w:pPr>
              <w:pStyle w:val="76"/>
              <w:widowControl w:val="0"/>
            </w:pPr>
          </w:p>
        </w:tc>
        <w:tc>
          <w:tcPr>
            <w:tcW w:w="993"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425" w:type="dxa"/>
            <w:shd w:val="clear" w:color="auto" w:fill="auto"/>
            <w:vAlign w:val="center"/>
          </w:tcPr>
          <w:p>
            <w:pPr>
              <w:pStyle w:val="76"/>
              <w:widowControl w:val="0"/>
            </w:pPr>
          </w:p>
        </w:tc>
        <w:tc>
          <w:tcPr>
            <w:tcW w:w="851"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851" w:type="dxa"/>
            <w:shd w:val="clear" w:color="auto" w:fill="auto"/>
            <w:vAlign w:val="center"/>
          </w:tcPr>
          <w:p>
            <w:pPr>
              <w:pStyle w:val="76"/>
              <w:widowControl w:val="0"/>
            </w:pPr>
          </w:p>
        </w:tc>
        <w:tc>
          <w:tcPr>
            <w:tcW w:w="425" w:type="dxa"/>
            <w:shd w:val="clear" w:color="auto" w:fill="auto"/>
            <w:vAlign w:val="center"/>
          </w:tcPr>
          <w:p>
            <w:pPr>
              <w:pStyle w:val="76"/>
              <w:widowControl w:val="0"/>
            </w:pPr>
          </w:p>
        </w:tc>
        <w:tc>
          <w:tcPr>
            <w:tcW w:w="567" w:type="dxa"/>
            <w:shd w:val="clear" w:color="auto" w:fill="auto"/>
            <w:vAlign w:val="center"/>
          </w:tcPr>
          <w:p>
            <w:pPr>
              <w:pStyle w:val="76"/>
              <w:widowControl w:val="0"/>
            </w:pPr>
          </w:p>
        </w:tc>
        <w:tc>
          <w:tcPr>
            <w:tcW w:w="567" w:type="dxa"/>
            <w:shd w:val="clear" w:color="auto" w:fill="auto"/>
            <w:vAlign w:val="center"/>
          </w:tcPr>
          <w:p>
            <w:pPr>
              <w:pStyle w:val="76"/>
              <w:widowControl w:val="0"/>
            </w:pPr>
          </w:p>
        </w:tc>
        <w:tc>
          <w:tcPr>
            <w:tcW w:w="546" w:type="dxa"/>
            <w:shd w:val="clear" w:color="auto" w:fill="auto"/>
            <w:vAlign w:val="center"/>
          </w:tcPr>
          <w:p>
            <w:pPr>
              <w:pStyle w:val="76"/>
              <w:widowControl w:val="0"/>
            </w:pPr>
          </w:p>
        </w:tc>
        <w:tc>
          <w:tcPr>
            <w:tcW w:w="718"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718" w:type="dxa"/>
            <w:shd w:val="clear" w:color="auto" w:fill="auto"/>
            <w:vAlign w:val="center"/>
          </w:tcPr>
          <w:p>
            <w:pPr>
              <w:pStyle w:val="76"/>
              <w:widowControl w:val="0"/>
            </w:pPr>
          </w:p>
        </w:tc>
        <w:tc>
          <w:tcPr>
            <w:tcW w:w="973" w:type="dxa"/>
            <w:shd w:val="clear" w:color="auto" w:fill="auto"/>
            <w:vAlign w:val="center"/>
          </w:tcPr>
          <w:p>
            <w:pPr>
              <w:pStyle w:val="76"/>
              <w:widowControl w:val="0"/>
            </w:pPr>
          </w:p>
        </w:tc>
        <w:tc>
          <w:tcPr>
            <w:tcW w:w="993"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425" w:type="dxa"/>
            <w:shd w:val="clear" w:color="auto" w:fill="auto"/>
            <w:vAlign w:val="center"/>
          </w:tcPr>
          <w:p>
            <w:pPr>
              <w:pStyle w:val="76"/>
              <w:widowControl w:val="0"/>
            </w:pPr>
          </w:p>
        </w:tc>
        <w:tc>
          <w:tcPr>
            <w:tcW w:w="851"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851" w:type="dxa"/>
            <w:shd w:val="clear" w:color="auto" w:fill="auto"/>
            <w:vAlign w:val="center"/>
          </w:tcPr>
          <w:p>
            <w:pPr>
              <w:pStyle w:val="76"/>
              <w:widowControl w:val="0"/>
            </w:pPr>
          </w:p>
        </w:tc>
        <w:tc>
          <w:tcPr>
            <w:tcW w:w="425" w:type="dxa"/>
            <w:shd w:val="clear" w:color="auto" w:fill="auto"/>
            <w:vAlign w:val="center"/>
          </w:tcPr>
          <w:p>
            <w:pPr>
              <w:pStyle w:val="76"/>
              <w:widowControl w:val="0"/>
            </w:pPr>
          </w:p>
        </w:tc>
        <w:tc>
          <w:tcPr>
            <w:tcW w:w="567" w:type="dxa"/>
            <w:shd w:val="clear" w:color="auto" w:fill="auto"/>
            <w:vAlign w:val="center"/>
          </w:tcPr>
          <w:p>
            <w:pPr>
              <w:pStyle w:val="76"/>
              <w:widowControl w:val="0"/>
            </w:pPr>
          </w:p>
        </w:tc>
        <w:tc>
          <w:tcPr>
            <w:tcW w:w="567" w:type="dxa"/>
            <w:shd w:val="clear" w:color="auto" w:fill="auto"/>
            <w:vAlign w:val="center"/>
          </w:tcPr>
          <w:p>
            <w:pPr>
              <w:pStyle w:val="76"/>
              <w:widowControl w:val="0"/>
            </w:pPr>
          </w:p>
        </w:tc>
        <w:tc>
          <w:tcPr>
            <w:tcW w:w="546" w:type="dxa"/>
            <w:shd w:val="clear" w:color="auto" w:fill="auto"/>
            <w:vAlign w:val="center"/>
          </w:tcPr>
          <w:p>
            <w:pPr>
              <w:pStyle w:val="76"/>
              <w:widowControl w:val="0"/>
            </w:pPr>
          </w:p>
        </w:tc>
        <w:tc>
          <w:tcPr>
            <w:tcW w:w="718"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jc w:val="center"/>
        </w:trPr>
        <w:tc>
          <w:tcPr>
            <w:tcW w:w="718" w:type="dxa"/>
            <w:shd w:val="clear" w:color="auto" w:fill="auto"/>
            <w:vAlign w:val="center"/>
          </w:tcPr>
          <w:p>
            <w:pPr>
              <w:pStyle w:val="76"/>
              <w:widowControl w:val="0"/>
            </w:pPr>
          </w:p>
        </w:tc>
        <w:tc>
          <w:tcPr>
            <w:tcW w:w="973" w:type="dxa"/>
            <w:shd w:val="clear" w:color="auto" w:fill="auto"/>
            <w:vAlign w:val="center"/>
          </w:tcPr>
          <w:p>
            <w:pPr>
              <w:pStyle w:val="76"/>
              <w:widowControl w:val="0"/>
            </w:pPr>
          </w:p>
        </w:tc>
        <w:tc>
          <w:tcPr>
            <w:tcW w:w="993"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425" w:type="dxa"/>
            <w:shd w:val="clear" w:color="auto" w:fill="auto"/>
            <w:vAlign w:val="center"/>
          </w:tcPr>
          <w:p>
            <w:pPr>
              <w:pStyle w:val="76"/>
              <w:widowControl w:val="0"/>
            </w:pPr>
          </w:p>
        </w:tc>
        <w:tc>
          <w:tcPr>
            <w:tcW w:w="851" w:type="dxa"/>
            <w:shd w:val="clear" w:color="auto" w:fill="auto"/>
            <w:vAlign w:val="center"/>
          </w:tcPr>
          <w:p>
            <w:pPr>
              <w:pStyle w:val="76"/>
              <w:widowControl w:val="0"/>
            </w:pPr>
          </w:p>
        </w:tc>
        <w:tc>
          <w:tcPr>
            <w:tcW w:w="850" w:type="dxa"/>
            <w:shd w:val="clear" w:color="auto" w:fill="auto"/>
            <w:vAlign w:val="center"/>
          </w:tcPr>
          <w:p>
            <w:pPr>
              <w:pStyle w:val="76"/>
              <w:widowControl w:val="0"/>
            </w:pPr>
          </w:p>
        </w:tc>
        <w:tc>
          <w:tcPr>
            <w:tcW w:w="851" w:type="dxa"/>
            <w:shd w:val="clear" w:color="auto" w:fill="auto"/>
            <w:vAlign w:val="center"/>
          </w:tcPr>
          <w:p>
            <w:pPr>
              <w:pStyle w:val="76"/>
              <w:widowControl w:val="0"/>
            </w:pPr>
          </w:p>
        </w:tc>
        <w:tc>
          <w:tcPr>
            <w:tcW w:w="425" w:type="dxa"/>
            <w:shd w:val="clear" w:color="auto" w:fill="auto"/>
            <w:vAlign w:val="center"/>
          </w:tcPr>
          <w:p>
            <w:pPr>
              <w:pStyle w:val="76"/>
              <w:widowControl w:val="0"/>
            </w:pPr>
          </w:p>
        </w:tc>
        <w:tc>
          <w:tcPr>
            <w:tcW w:w="567" w:type="dxa"/>
            <w:shd w:val="clear" w:color="auto" w:fill="auto"/>
            <w:vAlign w:val="center"/>
          </w:tcPr>
          <w:p>
            <w:pPr>
              <w:pStyle w:val="76"/>
              <w:widowControl w:val="0"/>
            </w:pPr>
          </w:p>
        </w:tc>
        <w:tc>
          <w:tcPr>
            <w:tcW w:w="567" w:type="dxa"/>
            <w:shd w:val="clear" w:color="auto" w:fill="auto"/>
            <w:vAlign w:val="center"/>
          </w:tcPr>
          <w:p>
            <w:pPr>
              <w:pStyle w:val="76"/>
              <w:widowControl w:val="0"/>
            </w:pPr>
          </w:p>
        </w:tc>
        <w:tc>
          <w:tcPr>
            <w:tcW w:w="546" w:type="dxa"/>
            <w:shd w:val="clear" w:color="auto" w:fill="auto"/>
            <w:vAlign w:val="center"/>
          </w:tcPr>
          <w:p>
            <w:pPr>
              <w:pStyle w:val="76"/>
              <w:widowControl w:val="0"/>
            </w:pPr>
          </w:p>
        </w:tc>
        <w:tc>
          <w:tcPr>
            <w:tcW w:w="718" w:type="dxa"/>
            <w:shd w:val="clear" w:color="auto" w:fill="auto"/>
            <w:vAlign w:val="center"/>
          </w:tcPr>
          <w:p>
            <w:pPr>
              <w:pStyle w:val="76"/>
              <w:widowControl w:val="0"/>
            </w:pPr>
          </w:p>
        </w:tc>
      </w:tr>
    </w:tbl>
    <w:p>
      <w:pPr>
        <w:pStyle w:val="51"/>
        <w:rPr>
          <w:rFonts w:hint="eastAsia"/>
          <w:lang w:val="en-US" w:eastAsia="zh-CN"/>
        </w:rPr>
        <w:sectPr>
          <w:pgSz w:w="11906" w:h="16838"/>
          <w:pgMar w:top="1417" w:right="1134" w:bottom="1134" w:left="1418" w:header="1417" w:footer="1134" w:gutter="0"/>
          <w:pgBorders>
            <w:top w:val="none" w:sz="0" w:space="0"/>
            <w:left w:val="none" w:sz="0" w:space="0"/>
            <w:bottom w:val="none" w:sz="0" w:space="0"/>
            <w:right w:val="none" w:sz="0" w:space="0"/>
          </w:pgBorders>
          <w:pgNumType w:fmt="decimal"/>
          <w:cols w:space="425" w:num="1"/>
          <w:docGrid w:type="lines" w:linePitch="312" w:charSpace="0"/>
        </w:sectPr>
      </w:pPr>
    </w:p>
    <w:p>
      <w:pPr>
        <w:pStyle w:val="73"/>
        <w:keepNext w:val="0"/>
        <w:keepLines w:val="0"/>
        <w:pageBreakBefore w:val="0"/>
        <w:widowControl w:val="0"/>
        <w:numPr>
          <w:ilvl w:val="1"/>
          <w:numId w:val="0"/>
        </w:numPr>
        <w:kinsoku/>
        <w:wordWrap/>
        <w:overflowPunct/>
        <w:topLinePunct w:val="0"/>
        <w:autoSpaceDE/>
        <w:autoSpaceDN/>
        <w:bidi w:val="0"/>
        <w:adjustRightInd/>
        <w:snapToGrid/>
        <w:spacing w:before="156" w:after="156"/>
        <w:ind w:left="0" w:leftChars="0" w:firstLine="0" w:firstLineChars="0"/>
        <w:textAlignment w:val="auto"/>
      </w:pPr>
      <w:bookmarkStart w:id="264" w:name="_Toc182213556"/>
      <w:bookmarkStart w:id="265" w:name="_Toc180416780"/>
      <w:bookmarkStart w:id="266" w:name="_Toc3685"/>
      <w:r>
        <w:rPr>
          <w:rFonts w:hint="eastAsia" w:ascii="黑体" w:hAnsi="Times New Roman" w:eastAsia="黑体" w:cs="Times New Roman"/>
          <w:b w:val="0"/>
          <w:i w:val="0"/>
          <w:snapToGrid/>
          <w:spacing w:val="0"/>
          <w:w w:val="100"/>
          <w:kern w:val="21"/>
          <w:sz w:val="21"/>
          <w:lang w:val="en-US" w:eastAsia="zh-CN" w:bidi="ar-SA"/>
        </w:rPr>
        <w:t>A.4　</w:t>
      </w:r>
      <w:r>
        <w:rPr>
          <w:rFonts w:hint="eastAsia"/>
        </w:rPr>
        <w:t>界址点坐标成果表</w:t>
      </w:r>
      <w:bookmarkEnd w:id="264"/>
      <w:bookmarkEnd w:id="265"/>
      <w:bookmarkEnd w:id="266"/>
    </w:p>
    <w:p>
      <w:pPr>
        <w:pStyle w:val="67"/>
        <w:ind w:firstLine="420"/>
      </w:pPr>
      <w:r>
        <w:rPr>
          <w:rFonts w:hint="eastAsia"/>
        </w:rPr>
        <w:t>界址点坐标成果表示例见表A.4。</w:t>
      </w:r>
    </w:p>
    <w:p>
      <w:pPr>
        <w:pStyle w:val="83"/>
        <w:spacing w:before="156" w:after="156"/>
      </w:pPr>
      <w:r>
        <w:rPr>
          <w:rFonts w:hint="eastAsia"/>
          <w:lang w:val="en-US" w:eastAsia="zh-CN"/>
        </w:rPr>
        <w:t xml:space="preserve"> </w:t>
      </w:r>
      <w:r>
        <w:rPr>
          <w:rFonts w:hint="eastAsia"/>
        </w:rPr>
        <w:t>界址点坐标成果表</w:t>
      </w:r>
    </w:p>
    <w:tbl>
      <w:tblPr>
        <w:tblStyle w:val="21"/>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0" w:type="dxa"/>
          <w:bottom w:w="0" w:type="dxa"/>
          <w:right w:w="0" w:type="dxa"/>
        </w:tblCellMar>
      </w:tblPr>
      <w:tblGrid>
        <w:gridCol w:w="1332"/>
        <w:gridCol w:w="1333"/>
        <w:gridCol w:w="1333"/>
        <w:gridCol w:w="1334"/>
        <w:gridCol w:w="1334"/>
        <w:gridCol w:w="1334"/>
        <w:gridCol w:w="1334"/>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blHeader/>
          <w:jc w:val="center"/>
        </w:trPr>
        <w:tc>
          <w:tcPr>
            <w:tcW w:w="9334" w:type="dxa"/>
            <w:gridSpan w:val="7"/>
            <w:shd w:val="clear" w:color="auto" w:fill="auto"/>
            <w:vAlign w:val="center"/>
          </w:tcPr>
          <w:p>
            <w:pPr>
              <w:pStyle w:val="76"/>
              <w:widowControl w:val="0"/>
            </w:pPr>
            <w:r>
              <w:rPr>
                <w:rFonts w:hint="eastAsia"/>
              </w:rPr>
              <w:t>界址点坐标成果表</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1332" w:type="dxa"/>
            <w:vMerge w:val="restart"/>
            <w:shd w:val="clear" w:color="auto" w:fill="auto"/>
            <w:vAlign w:val="center"/>
          </w:tcPr>
          <w:p>
            <w:pPr>
              <w:pStyle w:val="76"/>
              <w:widowControl w:val="0"/>
            </w:pPr>
            <w:r>
              <w:rPr>
                <w:rFonts w:hint="eastAsia"/>
              </w:rPr>
              <w:t>点名</w:t>
            </w:r>
          </w:p>
        </w:tc>
        <w:tc>
          <w:tcPr>
            <w:tcW w:w="1333" w:type="dxa"/>
            <w:vMerge w:val="restart"/>
            <w:shd w:val="clear" w:color="auto" w:fill="auto"/>
            <w:vAlign w:val="center"/>
          </w:tcPr>
          <w:p>
            <w:pPr>
              <w:pStyle w:val="76"/>
              <w:widowControl w:val="0"/>
            </w:pPr>
            <w:r>
              <w:rPr>
                <w:rFonts w:hint="eastAsia"/>
              </w:rPr>
              <w:t>标志</w:t>
            </w:r>
          </w:p>
        </w:tc>
        <w:tc>
          <w:tcPr>
            <w:tcW w:w="1333" w:type="dxa"/>
            <w:vMerge w:val="restart"/>
            <w:shd w:val="clear" w:color="auto" w:fill="auto"/>
            <w:vAlign w:val="center"/>
          </w:tcPr>
          <w:p>
            <w:pPr>
              <w:pStyle w:val="76"/>
              <w:widowControl w:val="0"/>
            </w:pPr>
            <w:r>
              <w:rPr>
                <w:rFonts w:hint="eastAsia"/>
              </w:rPr>
              <w:t>纵坐标X（m）</w:t>
            </w:r>
          </w:p>
        </w:tc>
        <w:tc>
          <w:tcPr>
            <w:tcW w:w="1334" w:type="dxa"/>
            <w:vMerge w:val="restart"/>
            <w:shd w:val="clear" w:color="auto" w:fill="auto"/>
            <w:vAlign w:val="center"/>
          </w:tcPr>
          <w:p>
            <w:pPr>
              <w:pStyle w:val="76"/>
              <w:widowControl w:val="0"/>
            </w:pPr>
            <w:r>
              <w:rPr>
                <w:rFonts w:hint="eastAsia"/>
              </w:rPr>
              <w:t>横坐标Y（m）</w:t>
            </w:r>
          </w:p>
        </w:tc>
        <w:tc>
          <w:tcPr>
            <w:tcW w:w="2668" w:type="dxa"/>
            <w:gridSpan w:val="2"/>
            <w:shd w:val="clear" w:color="auto" w:fill="auto"/>
            <w:vAlign w:val="center"/>
          </w:tcPr>
          <w:p>
            <w:pPr>
              <w:pStyle w:val="76"/>
              <w:widowControl w:val="0"/>
            </w:pPr>
            <w:r>
              <w:rPr>
                <w:rFonts w:hint="eastAsia"/>
              </w:rPr>
              <w:t>高程</w:t>
            </w:r>
          </w:p>
        </w:tc>
        <w:tc>
          <w:tcPr>
            <w:tcW w:w="1334" w:type="dxa"/>
            <w:vMerge w:val="restart"/>
            <w:shd w:val="clear" w:color="auto" w:fill="auto"/>
            <w:vAlign w:val="center"/>
          </w:tcPr>
          <w:p>
            <w:pPr>
              <w:pStyle w:val="76"/>
              <w:widowControl w:val="0"/>
            </w:pPr>
            <w:r>
              <w:rPr>
                <w:rFonts w:hint="eastAsia"/>
              </w:rPr>
              <w:t>备注</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1332" w:type="dxa"/>
            <w:vMerge w:val="continue"/>
            <w:shd w:val="clear" w:color="auto" w:fill="auto"/>
            <w:vAlign w:val="center"/>
          </w:tcPr>
          <w:p>
            <w:pPr>
              <w:pStyle w:val="76"/>
              <w:widowControl w:val="0"/>
            </w:pPr>
          </w:p>
        </w:tc>
        <w:tc>
          <w:tcPr>
            <w:tcW w:w="1333" w:type="dxa"/>
            <w:vMerge w:val="continue"/>
            <w:shd w:val="clear" w:color="auto" w:fill="auto"/>
            <w:vAlign w:val="center"/>
          </w:tcPr>
          <w:p>
            <w:pPr>
              <w:pStyle w:val="76"/>
              <w:widowControl w:val="0"/>
            </w:pPr>
          </w:p>
        </w:tc>
        <w:tc>
          <w:tcPr>
            <w:tcW w:w="1333" w:type="dxa"/>
            <w:vMerge w:val="continue"/>
            <w:shd w:val="clear" w:color="auto" w:fill="auto"/>
            <w:vAlign w:val="center"/>
          </w:tcPr>
          <w:p>
            <w:pPr>
              <w:pStyle w:val="76"/>
              <w:widowControl w:val="0"/>
            </w:pPr>
          </w:p>
        </w:tc>
        <w:tc>
          <w:tcPr>
            <w:tcW w:w="1334" w:type="dxa"/>
            <w:vMerge w:val="continue"/>
            <w:shd w:val="clear" w:color="auto" w:fill="auto"/>
            <w:vAlign w:val="center"/>
          </w:tcPr>
          <w:p>
            <w:pPr>
              <w:pStyle w:val="76"/>
              <w:widowControl w:val="0"/>
            </w:pPr>
          </w:p>
        </w:tc>
        <w:tc>
          <w:tcPr>
            <w:tcW w:w="1334" w:type="dxa"/>
            <w:shd w:val="clear" w:color="auto" w:fill="auto"/>
            <w:vAlign w:val="center"/>
          </w:tcPr>
          <w:p>
            <w:pPr>
              <w:pStyle w:val="76"/>
              <w:widowControl w:val="0"/>
            </w:pPr>
            <w:r>
              <w:rPr>
                <w:rFonts w:hint="eastAsia"/>
              </w:rPr>
              <w:t>Z</w:t>
            </w:r>
            <w:r>
              <w:rPr>
                <w:rFonts w:hint="eastAsia"/>
                <w:vertAlign w:val="subscript"/>
              </w:rPr>
              <w:t>U</w:t>
            </w:r>
            <w:r>
              <w:rPr>
                <w:rFonts w:hint="eastAsia"/>
                <w:vertAlign w:val="subscript"/>
                <w:lang w:eastAsia="zh-CN"/>
              </w:rPr>
              <w:t>(</w:t>
            </w:r>
            <w:r>
              <w:rPr>
                <w:rFonts w:hint="eastAsia"/>
              </w:rPr>
              <w:t>m</w:t>
            </w:r>
            <w:r>
              <w:rPr>
                <w:rFonts w:hint="eastAsia"/>
                <w:lang w:eastAsia="zh-CN"/>
              </w:rPr>
              <w:t>)</w:t>
            </w:r>
          </w:p>
        </w:tc>
        <w:tc>
          <w:tcPr>
            <w:tcW w:w="1334" w:type="dxa"/>
            <w:shd w:val="clear" w:color="auto" w:fill="auto"/>
            <w:vAlign w:val="center"/>
          </w:tcPr>
          <w:p>
            <w:pPr>
              <w:pStyle w:val="76"/>
              <w:widowControl w:val="0"/>
            </w:pPr>
            <w:r>
              <w:rPr>
                <w:rFonts w:hint="eastAsia"/>
              </w:rPr>
              <w:t>Z</w:t>
            </w:r>
            <w:r>
              <w:rPr>
                <w:rFonts w:hint="eastAsia"/>
                <w:vertAlign w:val="subscript"/>
              </w:rPr>
              <w:t>D</w:t>
            </w:r>
            <w:r>
              <w:rPr>
                <w:rFonts w:hint="eastAsia"/>
                <w:vertAlign w:val="subscript"/>
                <w:lang w:eastAsia="zh-CN"/>
              </w:rPr>
              <w:t>(</w:t>
            </w:r>
            <w:r>
              <w:rPr>
                <w:rFonts w:hint="eastAsia"/>
              </w:rPr>
              <w:t>m</w:t>
            </w:r>
            <w:r>
              <w:rPr>
                <w:rFonts w:hint="eastAsia"/>
                <w:lang w:eastAsia="zh-CN"/>
              </w:rPr>
              <w:t>)</w:t>
            </w:r>
          </w:p>
        </w:tc>
        <w:tc>
          <w:tcPr>
            <w:tcW w:w="1334" w:type="dxa"/>
            <w:vMerge w:val="continue"/>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1332"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1332"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1332"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1332"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1332"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1332"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1332"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1332"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1332"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1332"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1332"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1332"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1332"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1332"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1332"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1332"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1332"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1332"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1332"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1332"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1332"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1332"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1332"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1332"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1332"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1332"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1332"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1332"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1332"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1332"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3"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c>
          <w:tcPr>
            <w:tcW w:w="1334"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1332" w:type="dxa"/>
            <w:shd w:val="clear" w:color="auto" w:fill="auto"/>
            <w:vAlign w:val="center"/>
          </w:tcPr>
          <w:p>
            <w:pPr>
              <w:pStyle w:val="76"/>
              <w:widowControl w:val="0"/>
            </w:pPr>
            <w:r>
              <w:rPr>
                <w:rFonts w:hint="eastAsia"/>
              </w:rPr>
              <w:t>界址点总数</w:t>
            </w:r>
          </w:p>
        </w:tc>
        <w:tc>
          <w:tcPr>
            <w:tcW w:w="8002" w:type="dxa"/>
            <w:gridSpan w:val="6"/>
            <w:shd w:val="clear" w:color="auto" w:fill="auto"/>
            <w:vAlign w:val="center"/>
          </w:tcPr>
          <w:p>
            <w:pPr>
              <w:pStyle w:val="76"/>
              <w:widowControl w:val="0"/>
            </w:pPr>
            <w:r>
              <w:rPr>
                <w:rFonts w:hint="eastAsia"/>
              </w:rPr>
              <w:t>（个）</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9334" w:type="dxa"/>
            <w:gridSpan w:val="7"/>
            <w:shd w:val="clear" w:color="auto" w:fill="auto"/>
            <w:vAlign w:val="center"/>
          </w:tcPr>
          <w:p>
            <w:pPr>
              <w:pStyle w:val="77"/>
            </w:pPr>
            <w:r>
              <w:rPr>
                <w:rFonts w:hint="eastAsia"/>
              </w:rPr>
              <w:t>坐标数值保留到小数点后3位。</w:t>
            </w:r>
          </w:p>
          <w:p>
            <w:pPr>
              <w:pStyle w:val="77"/>
            </w:pPr>
            <w:r>
              <w:rPr>
                <w:rFonts w:hint="eastAsia"/>
              </w:rPr>
              <w:t>Z</w:t>
            </w:r>
            <w:r>
              <w:rPr>
                <w:rFonts w:hint="eastAsia"/>
                <w:vertAlign w:val="subscript"/>
              </w:rPr>
              <w:t>u</w:t>
            </w:r>
            <w:r>
              <w:rPr>
                <w:rFonts w:hint="eastAsia"/>
              </w:rPr>
              <w:t>为上界址点高程、Z</w:t>
            </w:r>
            <w:r>
              <w:rPr>
                <w:rFonts w:hint="eastAsia"/>
                <w:vertAlign w:val="subscript"/>
              </w:rPr>
              <w:t>d</w:t>
            </w:r>
            <w:r>
              <w:rPr>
                <w:rFonts w:hint="eastAsia"/>
              </w:rPr>
              <w:t>为下界址点高程。</w:t>
            </w:r>
          </w:p>
        </w:tc>
      </w:tr>
    </w:tbl>
    <w:p>
      <w:pPr>
        <w:pStyle w:val="51"/>
        <w:rPr>
          <w:rFonts w:hint="eastAsia"/>
          <w:lang w:val="en-US" w:eastAsia="zh-CN"/>
        </w:rPr>
      </w:pPr>
    </w:p>
    <w:p>
      <w:pPr>
        <w:pStyle w:val="73"/>
        <w:keepNext w:val="0"/>
        <w:keepLines w:val="0"/>
        <w:pageBreakBefore w:val="0"/>
        <w:widowControl w:val="0"/>
        <w:numPr>
          <w:ilvl w:val="1"/>
          <w:numId w:val="0"/>
        </w:numPr>
        <w:kinsoku/>
        <w:wordWrap/>
        <w:overflowPunct/>
        <w:topLinePunct w:val="0"/>
        <w:autoSpaceDE/>
        <w:autoSpaceDN/>
        <w:bidi w:val="0"/>
        <w:adjustRightInd/>
        <w:snapToGrid/>
        <w:spacing w:before="156" w:after="156"/>
        <w:ind w:left="0" w:leftChars="0" w:firstLine="0" w:firstLineChars="0"/>
        <w:textAlignment w:val="auto"/>
      </w:pPr>
      <w:bookmarkStart w:id="267" w:name="_Toc182213557"/>
      <w:bookmarkStart w:id="268" w:name="_Toc180416781"/>
      <w:bookmarkStart w:id="269" w:name="_Toc176265113"/>
      <w:bookmarkStart w:id="270" w:name="_Toc176447783"/>
      <w:bookmarkStart w:id="271" w:name="_Toc16799"/>
      <w:r>
        <w:rPr>
          <w:rFonts w:hint="eastAsia" w:ascii="黑体" w:hAnsi="Times New Roman" w:eastAsia="黑体" w:cs="Times New Roman"/>
          <w:b w:val="0"/>
          <w:i w:val="0"/>
          <w:snapToGrid/>
          <w:spacing w:val="0"/>
          <w:w w:val="100"/>
          <w:kern w:val="21"/>
          <w:sz w:val="21"/>
          <w:lang w:val="en-US" w:eastAsia="zh-CN" w:bidi="ar-SA"/>
        </w:rPr>
        <w:t>A.5　</w:t>
      </w:r>
      <w:r>
        <w:rPr>
          <w:rFonts w:hint="eastAsia"/>
        </w:rPr>
        <w:t>地下空间分层分户图</w:t>
      </w:r>
      <w:bookmarkEnd w:id="267"/>
      <w:bookmarkEnd w:id="268"/>
      <w:bookmarkEnd w:id="269"/>
      <w:bookmarkEnd w:id="270"/>
      <w:bookmarkEnd w:id="271"/>
    </w:p>
    <w:p>
      <w:pPr>
        <w:pStyle w:val="51"/>
        <w:rPr>
          <w:rFonts w:hint="eastAsia"/>
        </w:rPr>
      </w:pPr>
      <w:r>
        <w:rPr>
          <w:rFonts w:hint="eastAsia"/>
        </w:rPr>
        <w:t>地下空间分层分户图示例见表A.5。</w:t>
      </w:r>
    </w:p>
    <w:p>
      <w:pPr>
        <w:pStyle w:val="83"/>
        <w:spacing w:before="156" w:after="156"/>
      </w:pPr>
      <w:r>
        <w:rPr>
          <w:rFonts w:hint="eastAsia"/>
          <w:lang w:val="en-US" w:eastAsia="zh-CN"/>
        </w:rPr>
        <w:t xml:space="preserve"> </w:t>
      </w:r>
      <w:r>
        <w:rPr>
          <w:rFonts w:hint="eastAsia"/>
        </w:rPr>
        <w:t>地下空间分层分户图</w:t>
      </w:r>
    </w:p>
    <w:tbl>
      <w:tblPr>
        <w:tblStyle w:val="21"/>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0" w:type="dxa"/>
          <w:bottom w:w="0" w:type="dxa"/>
          <w:right w:w="0" w:type="dxa"/>
        </w:tblCellMar>
      </w:tblPr>
      <w:tblGrid>
        <w:gridCol w:w="2117"/>
        <w:gridCol w:w="2536"/>
        <w:gridCol w:w="2649"/>
        <w:gridCol w:w="2032"/>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97" w:hRule="atLeast"/>
          <w:tblHeader/>
          <w:jc w:val="center"/>
        </w:trPr>
        <w:tc>
          <w:tcPr>
            <w:tcW w:w="9334" w:type="dxa"/>
            <w:gridSpan w:val="4"/>
            <w:tcBorders>
              <w:tl2br w:val="nil"/>
              <w:tr2bl w:val="nil"/>
            </w:tcBorders>
            <w:shd w:val="clear" w:color="auto" w:fill="auto"/>
            <w:vAlign w:val="center"/>
          </w:tcPr>
          <w:p>
            <w:pPr>
              <w:pStyle w:val="76"/>
              <w:widowControl w:val="0"/>
            </w:pPr>
            <w:r>
              <w:rPr>
                <w:rFonts w:hint="eastAsia"/>
              </w:rPr>
              <w:t>地下空间分层分户图</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2117" w:type="dxa"/>
            <w:tcBorders>
              <w:tl2br w:val="nil"/>
              <w:tr2bl w:val="nil"/>
            </w:tcBorders>
            <w:shd w:val="clear" w:color="auto" w:fill="auto"/>
            <w:vAlign w:val="center"/>
          </w:tcPr>
          <w:p>
            <w:pPr>
              <w:pStyle w:val="76"/>
              <w:widowControl w:val="0"/>
            </w:pPr>
            <w:r>
              <w:rPr>
                <w:rFonts w:hint="eastAsia"/>
              </w:rPr>
              <w:t>地下空间名称</w:t>
            </w:r>
          </w:p>
        </w:tc>
        <w:tc>
          <w:tcPr>
            <w:tcW w:w="7217" w:type="dxa"/>
            <w:gridSpan w:val="3"/>
            <w:tcBorders>
              <w:tl2br w:val="nil"/>
              <w:tr2bl w:val="nil"/>
            </w:tcBorders>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49" w:hRule="atLeast"/>
          <w:jc w:val="center"/>
        </w:trPr>
        <w:tc>
          <w:tcPr>
            <w:tcW w:w="2117" w:type="dxa"/>
            <w:tcBorders>
              <w:tl2br w:val="nil"/>
              <w:tr2bl w:val="nil"/>
            </w:tcBorders>
            <w:shd w:val="clear" w:color="auto" w:fill="auto"/>
            <w:vAlign w:val="center"/>
          </w:tcPr>
          <w:p>
            <w:pPr>
              <w:pStyle w:val="76"/>
              <w:widowControl w:val="0"/>
            </w:pPr>
            <w:r>
              <w:rPr>
                <w:rFonts w:hint="eastAsia"/>
              </w:rPr>
              <w:t>层面编号</w:t>
            </w:r>
          </w:p>
        </w:tc>
        <w:tc>
          <w:tcPr>
            <w:tcW w:w="7217" w:type="dxa"/>
            <w:gridSpan w:val="3"/>
            <w:tcBorders>
              <w:tl2br w:val="nil"/>
              <w:tr2bl w:val="nil"/>
            </w:tcBorders>
            <w:shd w:val="clear" w:color="auto" w:fill="auto"/>
            <w:vAlign w:val="center"/>
          </w:tcPr>
          <w:p>
            <w:pPr>
              <w:pStyle w:val="76"/>
              <w:widowControl w:val="0"/>
            </w:pPr>
            <w:r>
              <w:rPr>
                <w:rFonts w:hint="eastAsia"/>
              </w:rPr>
              <w:t>地下第  层，共  层</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7364" w:hRule="atLeast"/>
          <w:jc w:val="center"/>
        </w:trPr>
        <w:tc>
          <w:tcPr>
            <w:tcW w:w="9334" w:type="dxa"/>
            <w:gridSpan w:val="4"/>
            <w:tcBorders>
              <w:tl2br w:val="nil"/>
              <w:tr2bl w:val="nil"/>
            </w:tcBorders>
            <w:shd w:val="clear" w:color="auto" w:fill="auto"/>
            <w:vAlign w:val="center"/>
          </w:tcPr>
          <w:p>
            <w:pPr>
              <w:pStyle w:val="76"/>
              <w:widowControl w:val="0"/>
            </w:pPr>
            <w:r>
              <w:drawing>
                <wp:anchor distT="0" distB="0" distL="114300" distR="114300" simplePos="0" relativeHeight="251667456" behindDoc="0" locked="0" layoutInCell="1" allowOverlap="1">
                  <wp:simplePos x="0" y="0"/>
                  <wp:positionH relativeFrom="column">
                    <wp:posOffset>119380</wp:posOffset>
                  </wp:positionH>
                  <wp:positionV relativeFrom="paragraph">
                    <wp:posOffset>-4126230</wp:posOffset>
                  </wp:positionV>
                  <wp:extent cx="5920740" cy="4183380"/>
                  <wp:effectExtent l="0" t="0" r="7620" b="7620"/>
                  <wp:wrapTopAndBottom/>
                  <wp:docPr id="24523975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239757" name="图片 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920740" cy="4183380"/>
                          </a:xfrm>
                          <a:prstGeom prst="rect">
                            <a:avLst/>
                          </a:prstGeom>
                          <a:noFill/>
                          <a:ln>
                            <a:noFill/>
                          </a:ln>
                        </pic:spPr>
                      </pic:pic>
                    </a:graphicData>
                  </a:graphic>
                </wp:anchor>
              </w:drawing>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659" w:hRule="atLeast"/>
          <w:jc w:val="center"/>
        </w:trPr>
        <w:tc>
          <w:tcPr>
            <w:tcW w:w="2117" w:type="dxa"/>
            <w:tcBorders>
              <w:tl2br w:val="nil"/>
              <w:tr2bl w:val="nil"/>
            </w:tcBorders>
            <w:shd w:val="clear" w:color="auto" w:fill="auto"/>
            <w:vAlign w:val="center"/>
          </w:tcPr>
          <w:p>
            <w:pPr>
              <w:pStyle w:val="76"/>
              <w:widowControl w:val="0"/>
            </w:pPr>
            <w:r>
              <w:rPr>
                <w:rFonts w:hint="eastAsia"/>
              </w:rPr>
              <w:t>制图人</w:t>
            </w:r>
          </w:p>
        </w:tc>
        <w:tc>
          <w:tcPr>
            <w:tcW w:w="2536" w:type="dxa"/>
            <w:tcBorders>
              <w:tl2br w:val="nil"/>
              <w:tr2bl w:val="nil"/>
            </w:tcBorders>
            <w:shd w:val="clear" w:color="auto" w:fill="auto"/>
            <w:vAlign w:val="center"/>
          </w:tcPr>
          <w:p>
            <w:pPr>
              <w:pStyle w:val="76"/>
              <w:widowControl w:val="0"/>
            </w:pPr>
          </w:p>
        </w:tc>
        <w:tc>
          <w:tcPr>
            <w:tcW w:w="2649" w:type="dxa"/>
            <w:tcBorders>
              <w:tl2br w:val="nil"/>
              <w:tr2bl w:val="nil"/>
            </w:tcBorders>
            <w:shd w:val="clear" w:color="auto" w:fill="auto"/>
            <w:vAlign w:val="center"/>
          </w:tcPr>
          <w:p>
            <w:pPr>
              <w:pStyle w:val="76"/>
              <w:widowControl w:val="0"/>
            </w:pPr>
            <w:r>
              <w:rPr>
                <w:rFonts w:hint="eastAsia"/>
              </w:rPr>
              <w:t>制图日期</w:t>
            </w:r>
          </w:p>
        </w:tc>
        <w:tc>
          <w:tcPr>
            <w:tcW w:w="2032" w:type="dxa"/>
            <w:tcBorders>
              <w:tl2br w:val="nil"/>
              <w:tr2bl w:val="nil"/>
            </w:tcBorders>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697" w:hRule="atLeast"/>
          <w:jc w:val="center"/>
        </w:trPr>
        <w:tc>
          <w:tcPr>
            <w:tcW w:w="2117" w:type="dxa"/>
            <w:tcBorders>
              <w:tl2br w:val="nil"/>
              <w:tr2bl w:val="nil"/>
            </w:tcBorders>
            <w:shd w:val="clear" w:color="auto" w:fill="auto"/>
            <w:vAlign w:val="center"/>
          </w:tcPr>
          <w:p>
            <w:pPr>
              <w:pStyle w:val="76"/>
              <w:widowControl w:val="0"/>
            </w:pPr>
            <w:r>
              <w:rPr>
                <w:rFonts w:hint="eastAsia"/>
              </w:rPr>
              <w:t>检核人</w:t>
            </w:r>
          </w:p>
        </w:tc>
        <w:tc>
          <w:tcPr>
            <w:tcW w:w="2536" w:type="dxa"/>
            <w:tcBorders>
              <w:tl2br w:val="nil"/>
              <w:tr2bl w:val="nil"/>
            </w:tcBorders>
            <w:shd w:val="clear" w:color="auto" w:fill="auto"/>
            <w:vAlign w:val="center"/>
          </w:tcPr>
          <w:p>
            <w:pPr>
              <w:pStyle w:val="76"/>
              <w:widowControl w:val="0"/>
            </w:pPr>
          </w:p>
        </w:tc>
        <w:tc>
          <w:tcPr>
            <w:tcW w:w="2649" w:type="dxa"/>
            <w:tcBorders>
              <w:tl2br w:val="nil"/>
              <w:tr2bl w:val="nil"/>
            </w:tcBorders>
            <w:shd w:val="clear" w:color="auto" w:fill="auto"/>
            <w:vAlign w:val="center"/>
          </w:tcPr>
          <w:p>
            <w:pPr>
              <w:pStyle w:val="76"/>
              <w:widowControl w:val="0"/>
            </w:pPr>
            <w:r>
              <w:rPr>
                <w:rFonts w:hint="eastAsia"/>
              </w:rPr>
              <w:t>检核日期</w:t>
            </w:r>
          </w:p>
        </w:tc>
        <w:tc>
          <w:tcPr>
            <w:tcW w:w="2032" w:type="dxa"/>
            <w:tcBorders>
              <w:tl2br w:val="nil"/>
              <w:tr2bl w:val="nil"/>
            </w:tcBorders>
            <w:shd w:val="clear" w:color="auto" w:fill="auto"/>
            <w:vAlign w:val="center"/>
          </w:tcPr>
          <w:p>
            <w:pPr>
              <w:pStyle w:val="76"/>
              <w:widowControl w:val="0"/>
            </w:pPr>
          </w:p>
        </w:tc>
      </w:tr>
    </w:tbl>
    <w:p>
      <w:pPr>
        <w:rPr>
          <w:rFonts w:hint="eastAsia"/>
          <w:lang w:val="en-US" w:eastAsia="zh-CN"/>
        </w:rPr>
      </w:pPr>
      <w:r>
        <w:rPr>
          <w:rFonts w:hint="eastAsia"/>
          <w:lang w:val="en-US" w:eastAsia="zh-CN"/>
        </w:rPr>
        <w:br w:type="page"/>
      </w:r>
    </w:p>
    <w:p>
      <w:pPr>
        <w:pStyle w:val="73"/>
        <w:keepNext w:val="0"/>
        <w:keepLines w:val="0"/>
        <w:pageBreakBefore w:val="0"/>
        <w:widowControl w:val="0"/>
        <w:numPr>
          <w:ilvl w:val="1"/>
          <w:numId w:val="0"/>
        </w:numPr>
        <w:kinsoku/>
        <w:wordWrap/>
        <w:overflowPunct/>
        <w:topLinePunct w:val="0"/>
        <w:autoSpaceDE/>
        <w:autoSpaceDN/>
        <w:bidi w:val="0"/>
        <w:adjustRightInd/>
        <w:snapToGrid/>
        <w:spacing w:before="156" w:after="156"/>
        <w:ind w:left="0" w:leftChars="0" w:firstLine="0" w:firstLineChars="0"/>
        <w:textAlignment w:val="auto"/>
      </w:pPr>
      <w:bookmarkStart w:id="272" w:name="_Toc182213558"/>
      <w:bookmarkStart w:id="273" w:name="_Toc11922"/>
      <w:bookmarkStart w:id="274" w:name="_Toc180416782"/>
      <w:bookmarkStart w:id="275" w:name="_Toc176447784"/>
      <w:bookmarkStart w:id="276" w:name="_Toc176265114"/>
      <w:r>
        <w:rPr>
          <w:rFonts w:hint="eastAsia" w:ascii="黑体" w:hAnsi="Times New Roman" w:eastAsia="黑体" w:cs="Times New Roman"/>
          <w:b w:val="0"/>
          <w:i w:val="0"/>
          <w:snapToGrid/>
          <w:spacing w:val="0"/>
          <w:w w:val="100"/>
          <w:kern w:val="21"/>
          <w:sz w:val="21"/>
          <w:lang w:val="en-US" w:eastAsia="zh-CN" w:bidi="ar-SA"/>
        </w:rPr>
        <w:t>A.6　</w:t>
      </w:r>
      <w:r>
        <w:rPr>
          <w:rFonts w:hint="eastAsia"/>
        </w:rPr>
        <w:t>地下空间宗地平面图</w:t>
      </w:r>
      <w:bookmarkEnd w:id="272"/>
      <w:bookmarkEnd w:id="273"/>
      <w:bookmarkEnd w:id="274"/>
      <w:bookmarkEnd w:id="275"/>
      <w:bookmarkEnd w:id="276"/>
    </w:p>
    <w:p>
      <w:pPr>
        <w:pStyle w:val="67"/>
        <w:ind w:firstLine="420"/>
      </w:pPr>
      <w:r>
        <w:rPr>
          <w:rFonts w:hint="eastAsia"/>
        </w:rPr>
        <w:t>宗地平面图示例见表A.6。</w:t>
      </w:r>
    </w:p>
    <w:p>
      <w:pPr>
        <w:pStyle w:val="83"/>
        <w:spacing w:before="156" w:after="156"/>
      </w:pPr>
      <w:r>
        <w:rPr>
          <w:rFonts w:hint="eastAsia"/>
          <w:lang w:val="en-US" w:eastAsia="zh-CN"/>
        </w:rPr>
        <w:t xml:space="preserve"> </w:t>
      </w:r>
      <w:r>
        <w:rPr>
          <w:rFonts w:hint="eastAsia"/>
        </w:rPr>
        <w:t>地下空间宗地平面图</w:t>
      </w:r>
    </w:p>
    <w:tbl>
      <w:tblPr>
        <w:tblStyle w:val="21"/>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0" w:type="dxa"/>
          <w:bottom w:w="0" w:type="dxa"/>
          <w:right w:w="0" w:type="dxa"/>
        </w:tblCellMar>
      </w:tblPr>
      <w:tblGrid>
        <w:gridCol w:w="1166"/>
        <w:gridCol w:w="1166"/>
        <w:gridCol w:w="1167"/>
        <w:gridCol w:w="1167"/>
        <w:gridCol w:w="1167"/>
        <w:gridCol w:w="1167"/>
        <w:gridCol w:w="1167"/>
        <w:gridCol w:w="1167"/>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605" w:hRule="atLeast"/>
          <w:tblHeader/>
          <w:jc w:val="center"/>
        </w:trPr>
        <w:tc>
          <w:tcPr>
            <w:tcW w:w="2332" w:type="dxa"/>
            <w:gridSpan w:val="2"/>
            <w:shd w:val="clear" w:color="auto" w:fill="auto"/>
            <w:vAlign w:val="center"/>
          </w:tcPr>
          <w:p>
            <w:pPr>
              <w:pStyle w:val="76"/>
              <w:widowControl w:val="0"/>
            </w:pPr>
            <w:r>
              <w:rPr>
                <w:rFonts w:hint="eastAsia"/>
              </w:rPr>
              <w:t>地下空间名称</w:t>
            </w:r>
          </w:p>
        </w:tc>
        <w:tc>
          <w:tcPr>
            <w:tcW w:w="2334" w:type="dxa"/>
            <w:gridSpan w:val="2"/>
            <w:shd w:val="clear" w:color="auto" w:fill="auto"/>
            <w:vAlign w:val="center"/>
          </w:tcPr>
          <w:p>
            <w:pPr>
              <w:pStyle w:val="76"/>
              <w:widowControl w:val="0"/>
            </w:pPr>
          </w:p>
        </w:tc>
        <w:tc>
          <w:tcPr>
            <w:tcW w:w="2334" w:type="dxa"/>
            <w:gridSpan w:val="2"/>
            <w:shd w:val="clear" w:color="auto" w:fill="auto"/>
            <w:vAlign w:val="center"/>
          </w:tcPr>
          <w:p>
            <w:pPr>
              <w:pStyle w:val="76"/>
              <w:widowControl w:val="0"/>
            </w:pPr>
            <w:r>
              <w:rPr>
                <w:rFonts w:hint="eastAsia"/>
              </w:rPr>
              <w:t>权利人</w:t>
            </w:r>
          </w:p>
        </w:tc>
        <w:tc>
          <w:tcPr>
            <w:tcW w:w="2334" w:type="dxa"/>
            <w:gridSpan w:val="2"/>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685" w:hRule="atLeast"/>
          <w:jc w:val="center"/>
        </w:trPr>
        <w:tc>
          <w:tcPr>
            <w:tcW w:w="2332" w:type="dxa"/>
            <w:gridSpan w:val="2"/>
            <w:shd w:val="clear" w:color="auto" w:fill="auto"/>
            <w:vAlign w:val="center"/>
          </w:tcPr>
          <w:p>
            <w:pPr>
              <w:pStyle w:val="76"/>
              <w:widowControl w:val="0"/>
            </w:pPr>
            <w:r>
              <w:rPr>
                <w:rFonts w:hint="eastAsia"/>
              </w:rPr>
              <w:t>地下空间坐落</w:t>
            </w:r>
          </w:p>
        </w:tc>
        <w:tc>
          <w:tcPr>
            <w:tcW w:w="2334" w:type="dxa"/>
            <w:gridSpan w:val="2"/>
            <w:shd w:val="clear" w:color="auto" w:fill="auto"/>
            <w:vAlign w:val="center"/>
          </w:tcPr>
          <w:p>
            <w:pPr>
              <w:pStyle w:val="76"/>
              <w:widowControl w:val="0"/>
            </w:pPr>
          </w:p>
        </w:tc>
        <w:tc>
          <w:tcPr>
            <w:tcW w:w="2334" w:type="dxa"/>
            <w:gridSpan w:val="2"/>
            <w:shd w:val="clear" w:color="auto" w:fill="auto"/>
            <w:vAlign w:val="center"/>
          </w:tcPr>
          <w:p>
            <w:pPr>
              <w:pStyle w:val="76"/>
              <w:widowControl w:val="0"/>
            </w:pPr>
            <w:r>
              <w:rPr>
                <w:rFonts w:hint="eastAsia"/>
              </w:rPr>
              <w:t>宗地号</w:t>
            </w:r>
          </w:p>
        </w:tc>
        <w:tc>
          <w:tcPr>
            <w:tcW w:w="2334" w:type="dxa"/>
            <w:gridSpan w:val="2"/>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9429" w:hRule="atLeast"/>
          <w:jc w:val="center"/>
        </w:trPr>
        <w:tc>
          <w:tcPr>
            <w:tcW w:w="9334" w:type="dxa"/>
            <w:gridSpan w:val="8"/>
            <w:shd w:val="clear" w:color="auto" w:fill="auto"/>
            <w:vAlign w:val="center"/>
          </w:tcPr>
          <w:p>
            <w:pPr>
              <w:pStyle w:val="76"/>
              <w:widowControl w:val="0"/>
            </w:pPr>
            <w:r>
              <w:rPr>
                <w:rFonts w:hint="eastAsia"/>
              </w:rPr>
              <w:drawing>
                <wp:inline distT="0" distB="0" distL="0" distR="0">
                  <wp:extent cx="4041775" cy="5713095"/>
                  <wp:effectExtent l="0" t="0" r="1905" b="12065"/>
                  <wp:docPr id="1" name="图片 1" descr="C:\Users\LENOVO\Desktop\地下空间宗地平面图11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LENOVO\Desktop\地下空间宗地平面图1108.jp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rot="16200000">
                            <a:off x="0" y="0"/>
                            <a:ext cx="4044652" cy="5717600"/>
                          </a:xfrm>
                          <a:prstGeom prst="rect">
                            <a:avLst/>
                          </a:prstGeom>
                          <a:noFill/>
                          <a:ln>
                            <a:noFill/>
                          </a:ln>
                        </pic:spPr>
                      </pic:pic>
                    </a:graphicData>
                  </a:graphic>
                </wp:inline>
              </w:drawing>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704" w:hRule="atLeast"/>
          <w:jc w:val="center"/>
        </w:trPr>
        <w:tc>
          <w:tcPr>
            <w:tcW w:w="1166" w:type="dxa"/>
            <w:shd w:val="clear" w:color="auto" w:fill="auto"/>
            <w:vAlign w:val="center"/>
          </w:tcPr>
          <w:p>
            <w:pPr>
              <w:pStyle w:val="76"/>
              <w:widowControl w:val="0"/>
            </w:pPr>
            <w:r>
              <w:rPr>
                <w:rFonts w:hint="eastAsia"/>
              </w:rPr>
              <w:t>制图人</w:t>
            </w:r>
          </w:p>
        </w:tc>
        <w:tc>
          <w:tcPr>
            <w:tcW w:w="1166" w:type="dxa"/>
            <w:shd w:val="clear" w:color="auto" w:fill="auto"/>
            <w:vAlign w:val="center"/>
          </w:tcPr>
          <w:p>
            <w:pPr>
              <w:pStyle w:val="76"/>
              <w:widowControl w:val="0"/>
            </w:pPr>
          </w:p>
        </w:tc>
        <w:tc>
          <w:tcPr>
            <w:tcW w:w="1167" w:type="dxa"/>
            <w:shd w:val="clear" w:color="auto" w:fill="auto"/>
            <w:vAlign w:val="center"/>
          </w:tcPr>
          <w:p>
            <w:pPr>
              <w:pStyle w:val="76"/>
              <w:widowControl w:val="0"/>
            </w:pPr>
            <w:r>
              <w:rPr>
                <w:rFonts w:hint="eastAsia"/>
              </w:rPr>
              <w:t>制图日期</w:t>
            </w:r>
          </w:p>
        </w:tc>
        <w:tc>
          <w:tcPr>
            <w:tcW w:w="1167" w:type="dxa"/>
            <w:shd w:val="clear" w:color="auto" w:fill="auto"/>
            <w:vAlign w:val="center"/>
          </w:tcPr>
          <w:p>
            <w:pPr>
              <w:pStyle w:val="76"/>
              <w:widowControl w:val="0"/>
            </w:pPr>
          </w:p>
        </w:tc>
        <w:tc>
          <w:tcPr>
            <w:tcW w:w="1167" w:type="dxa"/>
            <w:shd w:val="clear" w:color="auto" w:fill="auto"/>
            <w:vAlign w:val="center"/>
          </w:tcPr>
          <w:p>
            <w:pPr>
              <w:pStyle w:val="76"/>
              <w:widowControl w:val="0"/>
            </w:pPr>
            <w:r>
              <w:rPr>
                <w:rFonts w:hint="eastAsia"/>
              </w:rPr>
              <w:t>检核人</w:t>
            </w:r>
          </w:p>
        </w:tc>
        <w:tc>
          <w:tcPr>
            <w:tcW w:w="1167" w:type="dxa"/>
            <w:shd w:val="clear" w:color="auto" w:fill="auto"/>
            <w:vAlign w:val="center"/>
          </w:tcPr>
          <w:p>
            <w:pPr>
              <w:pStyle w:val="76"/>
              <w:widowControl w:val="0"/>
            </w:pPr>
          </w:p>
        </w:tc>
        <w:tc>
          <w:tcPr>
            <w:tcW w:w="1167" w:type="dxa"/>
            <w:shd w:val="clear" w:color="auto" w:fill="auto"/>
            <w:vAlign w:val="center"/>
          </w:tcPr>
          <w:p>
            <w:pPr>
              <w:pStyle w:val="76"/>
              <w:widowControl w:val="0"/>
            </w:pPr>
            <w:r>
              <w:rPr>
                <w:rFonts w:hint="eastAsia"/>
              </w:rPr>
              <w:t>检核日期</w:t>
            </w:r>
          </w:p>
        </w:tc>
        <w:tc>
          <w:tcPr>
            <w:tcW w:w="1167" w:type="dxa"/>
            <w:shd w:val="clear" w:color="auto" w:fill="auto"/>
            <w:vAlign w:val="center"/>
          </w:tcPr>
          <w:p>
            <w:pPr>
              <w:pStyle w:val="76"/>
              <w:widowControl w:val="0"/>
            </w:pPr>
          </w:p>
        </w:tc>
      </w:tr>
    </w:tbl>
    <w:p>
      <w:pPr>
        <w:pStyle w:val="51"/>
        <w:rPr>
          <w:rFonts w:hint="eastAsia"/>
          <w:lang w:val="en-US" w:eastAsia="zh-CN"/>
        </w:rPr>
      </w:pPr>
    </w:p>
    <w:p>
      <w:pPr>
        <w:pStyle w:val="73"/>
        <w:keepNext w:val="0"/>
        <w:keepLines w:val="0"/>
        <w:pageBreakBefore w:val="0"/>
        <w:widowControl w:val="0"/>
        <w:numPr>
          <w:ilvl w:val="1"/>
          <w:numId w:val="0"/>
        </w:numPr>
        <w:kinsoku/>
        <w:wordWrap/>
        <w:overflowPunct/>
        <w:topLinePunct w:val="0"/>
        <w:autoSpaceDE/>
        <w:autoSpaceDN/>
        <w:bidi w:val="0"/>
        <w:adjustRightInd/>
        <w:snapToGrid/>
        <w:spacing w:before="156" w:after="156"/>
        <w:ind w:left="0" w:leftChars="0" w:firstLine="0" w:firstLineChars="0"/>
        <w:textAlignment w:val="auto"/>
      </w:pPr>
      <w:bookmarkStart w:id="277" w:name="_Toc182213559"/>
      <w:bookmarkStart w:id="278" w:name="_Toc180416783"/>
      <w:bookmarkStart w:id="279" w:name="_Toc4802"/>
      <w:bookmarkStart w:id="280" w:name="_Toc176265115"/>
      <w:bookmarkStart w:id="281" w:name="_Toc176447785"/>
      <w:r>
        <w:rPr>
          <w:rFonts w:hint="eastAsia" w:ascii="黑体" w:hAnsi="Times New Roman" w:eastAsia="黑体" w:cs="Times New Roman"/>
          <w:b w:val="0"/>
          <w:i w:val="0"/>
          <w:snapToGrid/>
          <w:spacing w:val="0"/>
          <w:w w:val="100"/>
          <w:kern w:val="21"/>
          <w:sz w:val="21"/>
          <w:lang w:val="en-US" w:eastAsia="zh-CN" w:bidi="ar-SA"/>
        </w:rPr>
        <w:t>A.7　</w:t>
      </w:r>
      <w:r>
        <w:rPr>
          <w:rFonts w:hint="eastAsia"/>
        </w:rPr>
        <w:t>地下空间宗地立体透视图</w:t>
      </w:r>
      <w:bookmarkEnd w:id="277"/>
      <w:bookmarkEnd w:id="278"/>
      <w:bookmarkEnd w:id="279"/>
      <w:bookmarkEnd w:id="280"/>
      <w:bookmarkEnd w:id="281"/>
    </w:p>
    <w:p>
      <w:pPr>
        <w:pStyle w:val="67"/>
        <w:ind w:firstLine="420"/>
      </w:pPr>
      <w:r>
        <w:rPr>
          <w:rFonts w:hint="eastAsia"/>
        </w:rPr>
        <w:t>宗地立体透视图示例见表A.7。</w:t>
      </w:r>
    </w:p>
    <w:p>
      <w:pPr>
        <w:pStyle w:val="83"/>
        <w:spacing w:before="156" w:after="156"/>
      </w:pPr>
      <w:r>
        <w:rPr>
          <w:rFonts w:hint="eastAsia"/>
          <w:lang w:val="en-US" w:eastAsia="zh-CN"/>
        </w:rPr>
        <w:t xml:space="preserve"> </w:t>
      </w:r>
      <w:r>
        <w:rPr>
          <w:rFonts w:hint="eastAsia"/>
        </w:rPr>
        <w:t>地下空间宗地立体透视图</w:t>
      </w:r>
    </w:p>
    <w:tbl>
      <w:tblPr>
        <w:tblStyle w:val="21"/>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0" w:type="dxa"/>
          <w:bottom w:w="0" w:type="dxa"/>
          <w:right w:w="0" w:type="dxa"/>
        </w:tblCellMar>
      </w:tblPr>
      <w:tblGrid>
        <w:gridCol w:w="1166"/>
        <w:gridCol w:w="1166"/>
        <w:gridCol w:w="1167"/>
        <w:gridCol w:w="1167"/>
        <w:gridCol w:w="1167"/>
        <w:gridCol w:w="1167"/>
        <w:gridCol w:w="1167"/>
        <w:gridCol w:w="1167"/>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605" w:hRule="atLeast"/>
          <w:tblHeader/>
          <w:jc w:val="center"/>
        </w:trPr>
        <w:tc>
          <w:tcPr>
            <w:tcW w:w="2332" w:type="dxa"/>
            <w:gridSpan w:val="2"/>
            <w:shd w:val="clear" w:color="auto" w:fill="auto"/>
            <w:vAlign w:val="center"/>
          </w:tcPr>
          <w:p>
            <w:pPr>
              <w:pStyle w:val="76"/>
              <w:widowControl w:val="0"/>
            </w:pPr>
            <w:r>
              <w:rPr>
                <w:rFonts w:hint="eastAsia"/>
              </w:rPr>
              <w:t>地下空间名称</w:t>
            </w:r>
          </w:p>
        </w:tc>
        <w:tc>
          <w:tcPr>
            <w:tcW w:w="2334" w:type="dxa"/>
            <w:gridSpan w:val="2"/>
            <w:shd w:val="clear" w:color="auto" w:fill="auto"/>
            <w:vAlign w:val="center"/>
          </w:tcPr>
          <w:p>
            <w:pPr>
              <w:pStyle w:val="76"/>
              <w:widowControl w:val="0"/>
            </w:pPr>
          </w:p>
        </w:tc>
        <w:tc>
          <w:tcPr>
            <w:tcW w:w="2334" w:type="dxa"/>
            <w:gridSpan w:val="2"/>
            <w:shd w:val="clear" w:color="auto" w:fill="auto"/>
            <w:vAlign w:val="center"/>
          </w:tcPr>
          <w:p>
            <w:pPr>
              <w:pStyle w:val="76"/>
              <w:widowControl w:val="0"/>
            </w:pPr>
            <w:r>
              <w:rPr>
                <w:rFonts w:hint="eastAsia"/>
              </w:rPr>
              <w:t>权利人</w:t>
            </w:r>
          </w:p>
        </w:tc>
        <w:tc>
          <w:tcPr>
            <w:tcW w:w="2334" w:type="dxa"/>
            <w:gridSpan w:val="2"/>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621" w:hRule="atLeast"/>
          <w:jc w:val="center"/>
        </w:trPr>
        <w:tc>
          <w:tcPr>
            <w:tcW w:w="2332" w:type="dxa"/>
            <w:gridSpan w:val="2"/>
            <w:shd w:val="clear" w:color="auto" w:fill="auto"/>
            <w:vAlign w:val="center"/>
          </w:tcPr>
          <w:p>
            <w:pPr>
              <w:pStyle w:val="76"/>
              <w:widowControl w:val="0"/>
            </w:pPr>
            <w:r>
              <w:rPr>
                <w:rFonts w:hint="eastAsia"/>
              </w:rPr>
              <w:t>地下空间坐落</w:t>
            </w:r>
          </w:p>
        </w:tc>
        <w:tc>
          <w:tcPr>
            <w:tcW w:w="2334" w:type="dxa"/>
            <w:gridSpan w:val="2"/>
            <w:shd w:val="clear" w:color="auto" w:fill="auto"/>
            <w:vAlign w:val="center"/>
          </w:tcPr>
          <w:p>
            <w:pPr>
              <w:pStyle w:val="76"/>
              <w:widowControl w:val="0"/>
            </w:pPr>
          </w:p>
        </w:tc>
        <w:tc>
          <w:tcPr>
            <w:tcW w:w="2334" w:type="dxa"/>
            <w:gridSpan w:val="2"/>
            <w:shd w:val="clear" w:color="auto" w:fill="auto"/>
            <w:vAlign w:val="center"/>
          </w:tcPr>
          <w:p>
            <w:pPr>
              <w:pStyle w:val="76"/>
              <w:widowControl w:val="0"/>
            </w:pPr>
            <w:r>
              <w:rPr>
                <w:rFonts w:hint="eastAsia"/>
              </w:rPr>
              <w:t>宗地号</w:t>
            </w:r>
          </w:p>
        </w:tc>
        <w:tc>
          <w:tcPr>
            <w:tcW w:w="2334" w:type="dxa"/>
            <w:gridSpan w:val="2"/>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9412" w:hRule="atLeast"/>
          <w:jc w:val="center"/>
        </w:trPr>
        <w:tc>
          <w:tcPr>
            <w:tcW w:w="9334" w:type="dxa"/>
            <w:gridSpan w:val="8"/>
            <w:shd w:val="clear" w:color="auto" w:fill="auto"/>
            <w:vAlign w:val="center"/>
          </w:tcPr>
          <w:p>
            <w:pPr>
              <w:pStyle w:val="76"/>
              <w:widowControl w:val="0"/>
            </w:pPr>
            <w:r>
              <w:drawing>
                <wp:inline distT="0" distB="0" distL="0" distR="0">
                  <wp:extent cx="4043680" cy="5723890"/>
                  <wp:effectExtent l="0" t="0" r="6350" b="10160"/>
                  <wp:docPr id="36" name="图片 36" descr="C:\Users\LENOVO\Desktop\地下空间宗地立体透视图11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C:\Users\LENOVO\Desktop\地下空间宗地立体透视图1108.jpg"/>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rot="16200000">
                            <a:off x="0" y="0"/>
                            <a:ext cx="4042861" cy="5723023"/>
                          </a:xfrm>
                          <a:prstGeom prst="rect">
                            <a:avLst/>
                          </a:prstGeom>
                          <a:noFill/>
                          <a:ln>
                            <a:noFill/>
                          </a:ln>
                        </pic:spPr>
                      </pic:pic>
                    </a:graphicData>
                  </a:graphic>
                </wp:inline>
              </w:drawing>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687" w:hRule="atLeast"/>
          <w:jc w:val="center"/>
        </w:trPr>
        <w:tc>
          <w:tcPr>
            <w:tcW w:w="1166" w:type="dxa"/>
            <w:shd w:val="clear" w:color="auto" w:fill="auto"/>
            <w:vAlign w:val="center"/>
          </w:tcPr>
          <w:p>
            <w:pPr>
              <w:pStyle w:val="76"/>
              <w:widowControl w:val="0"/>
            </w:pPr>
            <w:r>
              <w:rPr>
                <w:rFonts w:hint="eastAsia"/>
              </w:rPr>
              <w:t>制图人</w:t>
            </w:r>
          </w:p>
        </w:tc>
        <w:tc>
          <w:tcPr>
            <w:tcW w:w="1166" w:type="dxa"/>
            <w:shd w:val="clear" w:color="auto" w:fill="auto"/>
            <w:vAlign w:val="center"/>
          </w:tcPr>
          <w:p>
            <w:pPr>
              <w:pStyle w:val="76"/>
              <w:widowControl w:val="0"/>
            </w:pPr>
          </w:p>
        </w:tc>
        <w:tc>
          <w:tcPr>
            <w:tcW w:w="1167" w:type="dxa"/>
            <w:shd w:val="clear" w:color="auto" w:fill="auto"/>
            <w:vAlign w:val="center"/>
          </w:tcPr>
          <w:p>
            <w:pPr>
              <w:pStyle w:val="76"/>
              <w:widowControl w:val="0"/>
            </w:pPr>
            <w:r>
              <w:rPr>
                <w:rFonts w:hint="eastAsia"/>
              </w:rPr>
              <w:t>制图日期</w:t>
            </w:r>
          </w:p>
        </w:tc>
        <w:tc>
          <w:tcPr>
            <w:tcW w:w="1167" w:type="dxa"/>
            <w:shd w:val="clear" w:color="auto" w:fill="auto"/>
            <w:vAlign w:val="center"/>
          </w:tcPr>
          <w:p>
            <w:pPr>
              <w:pStyle w:val="76"/>
              <w:widowControl w:val="0"/>
            </w:pPr>
          </w:p>
        </w:tc>
        <w:tc>
          <w:tcPr>
            <w:tcW w:w="1167" w:type="dxa"/>
            <w:shd w:val="clear" w:color="auto" w:fill="auto"/>
            <w:vAlign w:val="center"/>
          </w:tcPr>
          <w:p>
            <w:pPr>
              <w:pStyle w:val="76"/>
              <w:widowControl w:val="0"/>
            </w:pPr>
            <w:r>
              <w:rPr>
                <w:rFonts w:hint="eastAsia"/>
              </w:rPr>
              <w:t>检核人</w:t>
            </w:r>
          </w:p>
        </w:tc>
        <w:tc>
          <w:tcPr>
            <w:tcW w:w="1167" w:type="dxa"/>
            <w:shd w:val="clear" w:color="auto" w:fill="auto"/>
            <w:vAlign w:val="center"/>
          </w:tcPr>
          <w:p>
            <w:pPr>
              <w:pStyle w:val="76"/>
              <w:widowControl w:val="0"/>
            </w:pPr>
          </w:p>
        </w:tc>
        <w:tc>
          <w:tcPr>
            <w:tcW w:w="1167" w:type="dxa"/>
            <w:shd w:val="clear" w:color="auto" w:fill="auto"/>
            <w:vAlign w:val="center"/>
          </w:tcPr>
          <w:p>
            <w:pPr>
              <w:pStyle w:val="76"/>
              <w:widowControl w:val="0"/>
            </w:pPr>
            <w:r>
              <w:rPr>
                <w:rFonts w:hint="eastAsia"/>
              </w:rPr>
              <w:t>检核日期</w:t>
            </w:r>
          </w:p>
        </w:tc>
        <w:tc>
          <w:tcPr>
            <w:tcW w:w="1167"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86" w:hRule="atLeast"/>
          <w:jc w:val="center"/>
        </w:trPr>
        <w:tc>
          <w:tcPr>
            <w:tcW w:w="9334" w:type="dxa"/>
            <w:gridSpan w:val="8"/>
            <w:shd w:val="clear" w:color="auto" w:fill="auto"/>
            <w:vAlign w:val="center"/>
          </w:tcPr>
          <w:p>
            <w:pPr>
              <w:pStyle w:val="84"/>
            </w:pPr>
            <w:r>
              <w:rPr>
                <w:rFonts w:hint="eastAsia"/>
              </w:rPr>
              <w:t>S：边长；H：高度。</w:t>
            </w:r>
          </w:p>
        </w:tc>
      </w:tr>
    </w:tbl>
    <w:p>
      <w:pPr>
        <w:pStyle w:val="51"/>
        <w:rPr>
          <w:rFonts w:hint="eastAsia"/>
          <w:lang w:val="en-US" w:eastAsia="zh-CN"/>
        </w:rPr>
      </w:pPr>
    </w:p>
    <w:p>
      <w:pPr>
        <w:pStyle w:val="73"/>
        <w:keepNext w:val="0"/>
        <w:keepLines w:val="0"/>
        <w:pageBreakBefore w:val="0"/>
        <w:widowControl w:val="0"/>
        <w:numPr>
          <w:ilvl w:val="1"/>
          <w:numId w:val="0"/>
        </w:numPr>
        <w:kinsoku/>
        <w:wordWrap/>
        <w:overflowPunct/>
        <w:topLinePunct w:val="0"/>
        <w:autoSpaceDE/>
        <w:autoSpaceDN/>
        <w:bidi w:val="0"/>
        <w:adjustRightInd/>
        <w:snapToGrid/>
        <w:spacing w:before="156" w:after="156"/>
        <w:ind w:left="0" w:leftChars="0" w:firstLine="0" w:firstLineChars="0"/>
        <w:textAlignment w:val="auto"/>
      </w:pPr>
      <w:bookmarkStart w:id="282" w:name="_Toc182213560"/>
      <w:bookmarkStart w:id="283" w:name="_Toc176265116"/>
      <w:bookmarkStart w:id="284" w:name="_Toc26699"/>
      <w:bookmarkStart w:id="285" w:name="_Toc180416784"/>
      <w:bookmarkStart w:id="286" w:name="_Toc176447786"/>
      <w:r>
        <w:rPr>
          <w:rFonts w:hint="eastAsia" w:ascii="黑体" w:hAnsi="Times New Roman" w:eastAsia="黑体" w:cs="Times New Roman"/>
          <w:b w:val="0"/>
          <w:i w:val="0"/>
          <w:snapToGrid/>
          <w:spacing w:val="0"/>
          <w:w w:val="100"/>
          <w:kern w:val="21"/>
          <w:sz w:val="21"/>
          <w:lang w:val="en-US" w:eastAsia="zh-CN" w:bidi="ar-SA"/>
        </w:rPr>
        <w:t>A.8　</w:t>
      </w:r>
      <w:r>
        <w:rPr>
          <w:rFonts w:hint="eastAsia"/>
        </w:rPr>
        <w:t>调查记事表</w:t>
      </w:r>
      <w:bookmarkEnd w:id="282"/>
      <w:bookmarkEnd w:id="283"/>
      <w:bookmarkEnd w:id="284"/>
      <w:bookmarkEnd w:id="285"/>
      <w:bookmarkEnd w:id="286"/>
    </w:p>
    <w:p>
      <w:pPr>
        <w:pStyle w:val="67"/>
        <w:ind w:firstLine="420"/>
      </w:pPr>
      <w:r>
        <w:rPr>
          <w:rFonts w:hint="eastAsia"/>
        </w:rPr>
        <w:t>调查记事表示例见表A.8。</w:t>
      </w:r>
    </w:p>
    <w:p>
      <w:pPr>
        <w:pStyle w:val="83"/>
        <w:spacing w:before="156" w:after="156"/>
      </w:pPr>
      <w:r>
        <w:rPr>
          <w:rFonts w:hint="eastAsia"/>
          <w:lang w:val="en-US" w:eastAsia="zh-CN"/>
        </w:rPr>
        <w:t xml:space="preserve"> </w:t>
      </w:r>
      <w:r>
        <w:rPr>
          <w:rFonts w:hint="eastAsia"/>
        </w:rPr>
        <w:t>调查记事表示例</w:t>
      </w:r>
    </w:p>
    <w:tbl>
      <w:tblPr>
        <w:tblStyle w:val="21"/>
        <w:tblW w:w="4999" w:type="pct"/>
        <w:jc w:val="center"/>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autofit"/>
        <w:tblCellMar>
          <w:top w:w="0" w:type="dxa"/>
          <w:left w:w="0" w:type="dxa"/>
          <w:bottom w:w="0" w:type="dxa"/>
          <w:right w:w="0" w:type="dxa"/>
        </w:tblCellMar>
      </w:tblPr>
      <w:tblGrid>
        <w:gridCol w:w="1698"/>
        <w:gridCol w:w="980"/>
        <w:gridCol w:w="6704"/>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1958" w:hRule="atLeast"/>
          <w:tblHeader/>
          <w:jc w:val="center"/>
        </w:trPr>
        <w:tc>
          <w:tcPr>
            <w:tcW w:w="905" w:type="pct"/>
            <w:vMerge w:val="restart"/>
            <w:shd w:val="clear" w:color="auto" w:fill="auto"/>
            <w:vAlign w:val="center"/>
          </w:tcPr>
          <w:p>
            <w:pPr>
              <w:pStyle w:val="76"/>
              <w:widowControl w:val="0"/>
            </w:pPr>
            <w:r>
              <w:rPr>
                <w:rFonts w:hint="eastAsia"/>
              </w:rPr>
              <w:t>地下空间地籍调查记事</w:t>
            </w:r>
          </w:p>
        </w:tc>
        <w:tc>
          <w:tcPr>
            <w:tcW w:w="522" w:type="pct"/>
            <w:tcBorders>
              <w:bottom w:val="single" w:color="auto" w:sz="8" w:space="0"/>
            </w:tcBorders>
            <w:shd w:val="clear" w:color="auto" w:fill="auto"/>
            <w:vAlign w:val="center"/>
          </w:tcPr>
          <w:p>
            <w:pPr>
              <w:pStyle w:val="76"/>
              <w:widowControl w:val="0"/>
            </w:pPr>
            <w:r>
              <w:rPr>
                <w:rFonts w:hint="eastAsia"/>
              </w:rPr>
              <w:t>权属调查</w:t>
            </w:r>
          </w:p>
        </w:tc>
        <w:tc>
          <w:tcPr>
            <w:tcW w:w="3572" w:type="pct"/>
            <w:tcBorders>
              <w:bottom w:val="single" w:color="auto" w:sz="8" w:space="0"/>
            </w:tcBorders>
            <w:shd w:val="clear" w:color="auto" w:fill="auto"/>
            <w:vAlign w:val="bottom"/>
          </w:tcPr>
          <w:p>
            <w:pPr>
              <w:pStyle w:val="76"/>
              <w:widowControl w:val="0"/>
            </w:pPr>
            <w:r>
              <w:rPr>
                <w:rFonts w:hint="eastAsia"/>
              </w:rPr>
              <w:t xml:space="preserve">                                      调查员签字：</w:t>
            </w:r>
          </w:p>
          <w:p>
            <w:pPr>
              <w:pStyle w:val="76"/>
              <w:widowControl w:val="0"/>
            </w:pPr>
            <w:r>
              <w:rPr>
                <w:rFonts w:hint="eastAsia"/>
              </w:rPr>
              <w:t xml:space="preserve">                                            年     月     日</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1957" w:hRule="atLeast"/>
          <w:jc w:val="center"/>
        </w:trPr>
        <w:tc>
          <w:tcPr>
            <w:tcW w:w="905" w:type="pct"/>
            <w:vMerge w:val="continue"/>
            <w:shd w:val="clear" w:color="auto" w:fill="auto"/>
            <w:vAlign w:val="center"/>
          </w:tcPr>
          <w:p>
            <w:pPr>
              <w:pStyle w:val="76"/>
              <w:widowControl w:val="0"/>
            </w:pPr>
          </w:p>
        </w:tc>
        <w:tc>
          <w:tcPr>
            <w:tcW w:w="522" w:type="pct"/>
            <w:tcBorders>
              <w:top w:val="single" w:color="auto" w:sz="8" w:space="0"/>
            </w:tcBorders>
            <w:shd w:val="clear" w:color="auto" w:fill="auto"/>
            <w:vAlign w:val="center"/>
          </w:tcPr>
          <w:p>
            <w:pPr>
              <w:pStyle w:val="76"/>
              <w:widowControl w:val="0"/>
            </w:pPr>
            <w:r>
              <w:rPr>
                <w:rFonts w:hint="eastAsia"/>
              </w:rPr>
              <w:t>地籍测绘</w:t>
            </w:r>
          </w:p>
        </w:tc>
        <w:tc>
          <w:tcPr>
            <w:tcW w:w="3572" w:type="pct"/>
            <w:tcBorders>
              <w:top w:val="single" w:color="auto" w:sz="8" w:space="0"/>
            </w:tcBorders>
            <w:shd w:val="clear" w:color="auto" w:fill="auto"/>
            <w:vAlign w:val="bottom"/>
          </w:tcPr>
          <w:p>
            <w:pPr>
              <w:pStyle w:val="76"/>
              <w:widowControl w:val="0"/>
            </w:pPr>
            <w:r>
              <w:rPr>
                <w:rFonts w:hint="eastAsia"/>
              </w:rPr>
              <w:t xml:space="preserve">                                      测绘员签字：</w:t>
            </w:r>
          </w:p>
          <w:p>
            <w:pPr>
              <w:pStyle w:val="76"/>
              <w:widowControl w:val="0"/>
            </w:pPr>
            <w:r>
              <w:rPr>
                <w:rFonts w:hint="eastAsia"/>
              </w:rPr>
              <w:t xml:space="preserve">                                            年     月     日</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0" w:type="dxa"/>
            <w:bottom w:w="0" w:type="dxa"/>
            <w:right w:w="0" w:type="dxa"/>
          </w:tblCellMar>
        </w:tblPrEx>
        <w:trPr>
          <w:trHeight w:val="3862" w:hRule="atLeast"/>
          <w:jc w:val="center"/>
        </w:trPr>
        <w:tc>
          <w:tcPr>
            <w:tcW w:w="905" w:type="pct"/>
            <w:shd w:val="clear" w:color="auto" w:fill="auto"/>
            <w:vAlign w:val="center"/>
          </w:tcPr>
          <w:p>
            <w:pPr>
              <w:pStyle w:val="76"/>
              <w:widowControl w:val="0"/>
            </w:pPr>
            <w:r>
              <w:rPr>
                <w:rFonts w:hint="eastAsia"/>
              </w:rPr>
              <w:t>地下空间地籍调查结果审核意见</w:t>
            </w:r>
          </w:p>
        </w:tc>
        <w:tc>
          <w:tcPr>
            <w:tcW w:w="4094" w:type="pct"/>
            <w:gridSpan w:val="2"/>
            <w:shd w:val="clear" w:color="auto" w:fill="auto"/>
            <w:vAlign w:val="bottom"/>
          </w:tcPr>
          <w:p>
            <w:pPr>
              <w:pStyle w:val="76"/>
              <w:widowControl w:val="0"/>
            </w:pPr>
            <w:r>
              <w:rPr>
                <w:rFonts w:hint="eastAsia"/>
              </w:rPr>
              <w:t xml:space="preserve">              审核人：                   审核单位：（盖章）</w:t>
            </w:r>
          </w:p>
          <w:p>
            <w:pPr>
              <w:pStyle w:val="76"/>
              <w:widowControl w:val="0"/>
            </w:pPr>
          </w:p>
          <w:p>
            <w:pPr>
              <w:pStyle w:val="76"/>
              <w:widowControl w:val="0"/>
            </w:pPr>
          </w:p>
          <w:p>
            <w:pPr>
              <w:pStyle w:val="76"/>
              <w:widowControl w:val="0"/>
            </w:pPr>
            <w:r>
              <w:rPr>
                <w:rFonts w:hint="eastAsia"/>
              </w:rPr>
              <w:t xml:space="preserve">                                                 年     月     日</w:t>
            </w:r>
          </w:p>
        </w:tc>
      </w:tr>
    </w:tbl>
    <w:p>
      <w:pPr>
        <w:pStyle w:val="67"/>
        <w:ind w:firstLine="420"/>
      </w:pPr>
      <w:bookmarkStart w:id="287" w:name="_Toc176265117"/>
      <w:bookmarkStart w:id="288" w:name="_Toc182213561"/>
      <w:bookmarkStart w:id="289" w:name="_Toc176447787"/>
      <w:bookmarkStart w:id="290" w:name="_Toc180416785"/>
    </w:p>
    <w:p>
      <w:pPr>
        <w:pStyle w:val="73"/>
        <w:keepNext w:val="0"/>
        <w:keepLines w:val="0"/>
        <w:pageBreakBefore w:val="0"/>
        <w:numPr>
          <w:ilvl w:val="1"/>
          <w:numId w:val="0"/>
        </w:numPr>
        <w:kinsoku/>
        <w:topLinePunct w:val="0"/>
        <w:bidi w:val="0"/>
        <w:adjustRightInd/>
        <w:snapToGrid/>
        <w:spacing w:before="156" w:after="156"/>
        <w:ind w:left="0" w:leftChars="0" w:firstLine="0" w:firstLineChars="0"/>
      </w:pPr>
      <w:bookmarkStart w:id="291" w:name="_Toc6096"/>
      <w:r>
        <w:rPr>
          <w:rFonts w:hint="eastAsia" w:ascii="黑体" w:hAnsi="Times New Roman" w:eastAsia="黑体" w:cs="Times New Roman"/>
          <w:b w:val="0"/>
          <w:i w:val="0"/>
          <w:snapToGrid/>
          <w:spacing w:val="0"/>
          <w:w w:val="100"/>
          <w:kern w:val="21"/>
          <w:sz w:val="21"/>
          <w:lang w:val="en-US" w:eastAsia="zh-CN" w:bidi="ar-SA"/>
        </w:rPr>
        <w:t>A.9　</w:t>
      </w:r>
      <w:r>
        <w:rPr>
          <w:rFonts w:hint="eastAsia"/>
        </w:rPr>
        <w:t>地籍调查表（地下）使用及填写说明</w:t>
      </w:r>
      <w:bookmarkEnd w:id="287"/>
      <w:bookmarkEnd w:id="288"/>
      <w:bookmarkEnd w:id="289"/>
      <w:bookmarkEnd w:id="290"/>
      <w:bookmarkEnd w:id="291"/>
    </w:p>
    <w:p>
      <w:pPr>
        <w:pStyle w:val="85"/>
        <w:keepNext w:val="0"/>
        <w:keepLines w:val="0"/>
        <w:pageBreakBefore w:val="0"/>
        <w:numPr>
          <w:ilvl w:val="2"/>
          <w:numId w:val="0"/>
        </w:numPr>
        <w:kinsoku/>
        <w:topLinePunct w:val="0"/>
        <w:bidi w:val="0"/>
        <w:adjustRightInd/>
        <w:snapToGrid/>
        <w:spacing w:before="156" w:after="156"/>
        <w:ind w:left="0" w:leftChars="0" w:firstLine="0" w:firstLineChars="0"/>
      </w:pPr>
      <w:r>
        <w:rPr>
          <w:rFonts w:hint="eastAsia" w:ascii="黑体" w:hAnsi="Times New Roman" w:eastAsia="黑体" w:cs="Times New Roman"/>
          <w:b w:val="0"/>
          <w:i w:val="0"/>
          <w:kern w:val="21"/>
          <w:sz w:val="21"/>
          <w:lang w:val="en-US" w:eastAsia="zh-CN" w:bidi="ar-SA"/>
        </w:rPr>
        <w:t>A.9.1　</w:t>
      </w:r>
      <w:r>
        <w:rPr>
          <w:rFonts w:hint="eastAsia"/>
        </w:rPr>
        <w:t>填写要求</w:t>
      </w:r>
    </w:p>
    <w:p>
      <w:pPr>
        <w:pStyle w:val="67"/>
        <w:ind w:firstLine="420"/>
      </w:pPr>
      <w:r>
        <w:rPr>
          <w:rFonts w:hint="eastAsia"/>
        </w:rPr>
        <w:t>地籍调查表（地下）使用及填写要求如下：</w:t>
      </w:r>
    </w:p>
    <w:p>
      <w:pPr>
        <w:pStyle w:val="78"/>
        <w:numPr>
          <w:ilvl w:val="0"/>
          <w:numId w:val="40"/>
        </w:numPr>
      </w:pPr>
      <w:r>
        <w:rPr>
          <w:rFonts w:hint="eastAsia"/>
        </w:rPr>
        <w:t>地下地籍调查表以宗地为单位填写；</w:t>
      </w:r>
    </w:p>
    <w:p>
      <w:pPr>
        <w:pStyle w:val="78"/>
        <w:numPr>
          <w:ilvl w:val="0"/>
          <w:numId w:val="40"/>
        </w:numPr>
      </w:pPr>
      <w:r>
        <w:rPr>
          <w:rFonts w:hint="eastAsia"/>
        </w:rPr>
        <w:t>宗地有多个土地使用权人的，按各共有使用权人的土地情况分别填写地籍调查表；</w:t>
      </w:r>
    </w:p>
    <w:p>
      <w:pPr>
        <w:pStyle w:val="78"/>
        <w:numPr>
          <w:ilvl w:val="0"/>
          <w:numId w:val="40"/>
        </w:numPr>
      </w:pPr>
      <w:r>
        <w:rPr>
          <w:rFonts w:hint="eastAsia"/>
        </w:rPr>
        <w:t>地下地籍调查表必须如实填写，确属不填的栏目用上斜线填充；</w:t>
      </w:r>
    </w:p>
    <w:p>
      <w:pPr>
        <w:pStyle w:val="78"/>
        <w:numPr>
          <w:ilvl w:val="0"/>
          <w:numId w:val="40"/>
        </w:numPr>
      </w:pPr>
      <w:r>
        <w:rPr>
          <w:rFonts w:hint="eastAsia"/>
        </w:rPr>
        <w:t>解析界址线情况、指界人签字盖章及界址点成果表不够填写时可另行加页；</w:t>
      </w:r>
    </w:p>
    <w:p>
      <w:pPr>
        <w:pStyle w:val="78"/>
        <w:numPr>
          <w:ilvl w:val="0"/>
          <w:numId w:val="40"/>
        </w:numPr>
      </w:pPr>
      <w:r>
        <w:rPr>
          <w:rFonts w:hint="eastAsia"/>
        </w:rPr>
        <w:t>本表经地下地籍调查成果审核单位盖章有效。</w:t>
      </w:r>
    </w:p>
    <w:p>
      <w:pPr>
        <w:pStyle w:val="85"/>
        <w:keepNext w:val="0"/>
        <w:keepLines w:val="0"/>
        <w:pageBreakBefore w:val="0"/>
        <w:widowControl/>
        <w:numPr>
          <w:ilvl w:val="2"/>
          <w:numId w:val="0"/>
        </w:numPr>
        <w:kinsoku/>
        <w:wordWrap w:val="0"/>
        <w:overflowPunct w:val="0"/>
        <w:topLinePunct w:val="0"/>
        <w:autoSpaceDE w:val="0"/>
        <w:autoSpaceDN w:val="0"/>
        <w:bidi w:val="0"/>
        <w:adjustRightInd/>
        <w:snapToGrid/>
        <w:spacing w:before="156" w:after="156"/>
        <w:ind w:left="0" w:leftChars="0" w:firstLine="0" w:firstLineChars="0"/>
        <w:textAlignment w:val="baseline"/>
      </w:pPr>
      <w:r>
        <w:rPr>
          <w:rFonts w:hint="eastAsia" w:ascii="黑体" w:hAnsi="Times New Roman" w:eastAsia="黑体" w:cs="Times New Roman"/>
          <w:b w:val="0"/>
          <w:i w:val="0"/>
          <w:kern w:val="21"/>
          <w:sz w:val="21"/>
          <w:lang w:val="en-US" w:eastAsia="zh-CN" w:bidi="ar-SA"/>
        </w:rPr>
        <w:t>A.9.2　</w:t>
      </w:r>
      <w:r>
        <w:rPr>
          <w:rFonts w:hint="eastAsia"/>
        </w:rPr>
        <w:t>填写说明</w:t>
      </w:r>
    </w:p>
    <w:p>
      <w:pPr>
        <w:pStyle w:val="67"/>
        <w:ind w:firstLine="420"/>
      </w:pPr>
      <w:r>
        <w:rPr>
          <w:rFonts w:hint="eastAsia"/>
        </w:rPr>
        <w:t>填写说明见表A.9的要求。</w:t>
      </w:r>
    </w:p>
    <w:p>
      <w:pPr>
        <w:pStyle w:val="83"/>
        <w:spacing w:before="156" w:after="156"/>
      </w:pPr>
      <w:r>
        <w:rPr>
          <w:rFonts w:hint="eastAsia"/>
          <w:lang w:val="en-US" w:eastAsia="zh-CN"/>
        </w:rPr>
        <w:t xml:space="preserve"> </w:t>
      </w:r>
      <w:r>
        <w:rPr>
          <w:rFonts w:hint="eastAsia"/>
        </w:rPr>
        <w:t>填写说明要求</w:t>
      </w:r>
    </w:p>
    <w:tbl>
      <w:tblPr>
        <w:tblStyle w:val="21"/>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0" w:type="dxa"/>
          <w:bottom w:w="0" w:type="dxa"/>
          <w:right w:w="0" w:type="dxa"/>
        </w:tblCellMar>
      </w:tblPr>
      <w:tblGrid>
        <w:gridCol w:w="2117"/>
        <w:gridCol w:w="7217"/>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blHeader/>
          <w:jc w:val="center"/>
        </w:trPr>
        <w:tc>
          <w:tcPr>
            <w:tcW w:w="2117" w:type="dxa"/>
            <w:tcBorders>
              <w:tl2br w:val="nil"/>
              <w:tr2bl w:val="nil"/>
            </w:tcBorders>
            <w:shd w:val="clear" w:color="auto" w:fill="auto"/>
            <w:vAlign w:val="center"/>
          </w:tcPr>
          <w:p>
            <w:pPr>
              <w:pStyle w:val="76"/>
              <w:widowControl w:val="0"/>
            </w:pPr>
            <w:r>
              <w:rPr>
                <w:rFonts w:hint="eastAsia"/>
              </w:rPr>
              <w:t>栏目</w:t>
            </w:r>
          </w:p>
        </w:tc>
        <w:tc>
          <w:tcPr>
            <w:tcW w:w="7217" w:type="dxa"/>
            <w:tcBorders>
              <w:tl2br w:val="nil"/>
              <w:tr2bl w:val="nil"/>
            </w:tcBorders>
            <w:shd w:val="clear" w:color="auto" w:fill="auto"/>
            <w:vAlign w:val="center"/>
          </w:tcPr>
          <w:p>
            <w:pPr>
              <w:pStyle w:val="76"/>
              <w:widowControl w:val="0"/>
            </w:pPr>
            <w:r>
              <w:rPr>
                <w:rFonts w:hint="eastAsia"/>
              </w:rPr>
              <w:t>填写要求</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2117" w:type="dxa"/>
            <w:tcBorders>
              <w:tl2br w:val="nil"/>
              <w:tr2bl w:val="nil"/>
            </w:tcBorders>
            <w:shd w:val="clear" w:color="auto" w:fill="auto"/>
            <w:vAlign w:val="center"/>
          </w:tcPr>
          <w:p>
            <w:pPr>
              <w:pStyle w:val="76"/>
              <w:widowControl w:val="0"/>
            </w:pPr>
            <w:r>
              <w:t>地下空间名称</w:t>
            </w:r>
          </w:p>
        </w:tc>
        <w:tc>
          <w:tcPr>
            <w:tcW w:w="7217" w:type="dxa"/>
            <w:tcBorders>
              <w:tl2br w:val="nil"/>
              <w:tr2bl w:val="nil"/>
            </w:tcBorders>
            <w:shd w:val="clear" w:color="auto" w:fill="auto"/>
            <w:vAlign w:val="center"/>
          </w:tcPr>
          <w:p>
            <w:pPr>
              <w:pStyle w:val="76"/>
              <w:widowControl w:val="0"/>
            </w:pPr>
            <w:r>
              <w:t>填写进行地下地籍调查时的地下空间现势名称。</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2117" w:type="dxa"/>
            <w:tcBorders>
              <w:tl2br w:val="nil"/>
              <w:tr2bl w:val="nil"/>
            </w:tcBorders>
            <w:shd w:val="clear" w:color="auto" w:fill="auto"/>
            <w:vAlign w:val="center"/>
          </w:tcPr>
          <w:p>
            <w:pPr>
              <w:pStyle w:val="76"/>
              <w:widowControl w:val="0"/>
            </w:pPr>
            <w:r>
              <w:t>名称（姓名）</w:t>
            </w:r>
          </w:p>
        </w:tc>
        <w:tc>
          <w:tcPr>
            <w:tcW w:w="7217" w:type="dxa"/>
            <w:tcBorders>
              <w:tl2br w:val="nil"/>
              <w:tr2bl w:val="nil"/>
            </w:tcBorders>
            <w:shd w:val="clear" w:color="auto" w:fill="auto"/>
            <w:vAlign w:val="center"/>
          </w:tcPr>
          <w:p>
            <w:pPr>
              <w:pStyle w:val="76"/>
              <w:widowControl w:val="0"/>
            </w:pPr>
            <w:r>
              <w:t>权利人（开发主体、归口单位）为单位的填写单位名称，为个人的填写个人姓名。</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2117" w:type="dxa"/>
            <w:tcBorders>
              <w:tl2br w:val="nil"/>
              <w:tr2bl w:val="nil"/>
            </w:tcBorders>
            <w:shd w:val="clear" w:color="auto" w:fill="auto"/>
            <w:vAlign w:val="center"/>
          </w:tcPr>
          <w:p>
            <w:pPr>
              <w:pStyle w:val="76"/>
              <w:widowControl w:val="0"/>
            </w:pPr>
            <w:r>
              <w:t>单位性质</w:t>
            </w:r>
          </w:p>
        </w:tc>
        <w:tc>
          <w:tcPr>
            <w:tcW w:w="7217" w:type="dxa"/>
            <w:tcBorders>
              <w:tl2br w:val="nil"/>
              <w:tr2bl w:val="nil"/>
            </w:tcBorders>
            <w:shd w:val="clear" w:color="auto" w:fill="auto"/>
            <w:vAlign w:val="center"/>
          </w:tcPr>
          <w:p>
            <w:pPr>
              <w:pStyle w:val="76"/>
              <w:widowControl w:val="0"/>
            </w:pPr>
            <w:r>
              <w:t>行政事业单位填写行政或事业。企业单位填写国有、集体、私营、外资、港澳台、联营、股份制、个体或其他（依据国家统计局、国家工商行政管理总局《关于经济类型划分的暂行规定》）。土地权利人为自然人的填写个人。</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2117" w:type="dxa"/>
            <w:tcBorders>
              <w:tl2br w:val="nil"/>
              <w:tr2bl w:val="nil"/>
            </w:tcBorders>
            <w:shd w:val="clear" w:color="auto" w:fill="auto"/>
            <w:vAlign w:val="center"/>
          </w:tcPr>
          <w:p>
            <w:pPr>
              <w:pStyle w:val="76"/>
              <w:widowControl w:val="0"/>
            </w:pPr>
            <w:r>
              <w:t>法定代表人或负责人</w:t>
            </w:r>
          </w:p>
        </w:tc>
        <w:tc>
          <w:tcPr>
            <w:tcW w:w="7217" w:type="dxa"/>
            <w:tcBorders>
              <w:tl2br w:val="nil"/>
              <w:tr2bl w:val="nil"/>
            </w:tcBorders>
            <w:shd w:val="clear" w:color="auto" w:fill="auto"/>
            <w:vAlign w:val="center"/>
          </w:tcPr>
          <w:p>
            <w:pPr>
              <w:pStyle w:val="76"/>
              <w:widowControl w:val="0"/>
            </w:pPr>
            <w:r>
              <w:t>申请人为法人单位的填写法定代表人姓名，为非法人单位的填写负责人姓名。</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2117" w:type="dxa"/>
            <w:tcBorders>
              <w:tl2br w:val="nil"/>
              <w:tr2bl w:val="nil"/>
            </w:tcBorders>
            <w:shd w:val="clear" w:color="auto" w:fill="auto"/>
            <w:vAlign w:val="center"/>
          </w:tcPr>
          <w:p>
            <w:pPr>
              <w:pStyle w:val="76"/>
              <w:widowControl w:val="0"/>
            </w:pPr>
            <w:r>
              <w:t>地下空间坐落</w:t>
            </w:r>
          </w:p>
        </w:tc>
        <w:tc>
          <w:tcPr>
            <w:tcW w:w="7217" w:type="dxa"/>
            <w:tcBorders>
              <w:tl2br w:val="nil"/>
              <w:tr2bl w:val="nil"/>
            </w:tcBorders>
            <w:shd w:val="clear" w:color="auto" w:fill="auto"/>
            <w:vAlign w:val="center"/>
          </w:tcPr>
          <w:p>
            <w:pPr>
              <w:pStyle w:val="76"/>
              <w:widowControl w:val="0"/>
            </w:pPr>
            <w:r>
              <w:t>地下空间垂直投影到地表所在地址的详细坐落。</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2117" w:type="dxa"/>
            <w:tcBorders>
              <w:tl2br w:val="nil"/>
              <w:tr2bl w:val="nil"/>
            </w:tcBorders>
            <w:shd w:val="clear" w:color="auto" w:fill="auto"/>
            <w:vAlign w:val="center"/>
          </w:tcPr>
          <w:p>
            <w:pPr>
              <w:pStyle w:val="76"/>
              <w:widowControl w:val="0"/>
            </w:pPr>
            <w:r>
              <w:t>起始高程</w:t>
            </w:r>
          </w:p>
        </w:tc>
        <w:tc>
          <w:tcPr>
            <w:tcW w:w="7217" w:type="dxa"/>
            <w:tcBorders>
              <w:tl2br w:val="nil"/>
              <w:tr2bl w:val="nil"/>
            </w:tcBorders>
            <w:shd w:val="clear" w:color="auto" w:fill="auto"/>
            <w:vAlign w:val="center"/>
          </w:tcPr>
          <w:p>
            <w:pPr>
              <w:pStyle w:val="76"/>
              <w:widowControl w:val="0"/>
            </w:pPr>
            <w:r>
              <w:t>填写地下空间最高点的高程值。</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2117" w:type="dxa"/>
            <w:tcBorders>
              <w:tl2br w:val="nil"/>
              <w:tr2bl w:val="nil"/>
            </w:tcBorders>
            <w:shd w:val="clear" w:color="auto" w:fill="auto"/>
            <w:vAlign w:val="center"/>
          </w:tcPr>
          <w:p>
            <w:pPr>
              <w:pStyle w:val="76"/>
              <w:widowControl w:val="0"/>
            </w:pPr>
            <w:r>
              <w:t>终止高程</w:t>
            </w:r>
          </w:p>
        </w:tc>
        <w:tc>
          <w:tcPr>
            <w:tcW w:w="7217" w:type="dxa"/>
            <w:tcBorders>
              <w:tl2br w:val="nil"/>
              <w:tr2bl w:val="nil"/>
            </w:tcBorders>
            <w:shd w:val="clear" w:color="auto" w:fill="auto"/>
            <w:vAlign w:val="center"/>
          </w:tcPr>
          <w:p>
            <w:pPr>
              <w:pStyle w:val="76"/>
              <w:widowControl w:val="0"/>
            </w:pPr>
            <w:r>
              <w:t>填写地下空间最低点的高程值。</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2117" w:type="dxa"/>
            <w:tcBorders>
              <w:tl2br w:val="nil"/>
              <w:tr2bl w:val="nil"/>
            </w:tcBorders>
            <w:shd w:val="clear" w:color="auto" w:fill="auto"/>
            <w:vAlign w:val="center"/>
          </w:tcPr>
          <w:p>
            <w:pPr>
              <w:pStyle w:val="76"/>
              <w:widowControl w:val="0"/>
            </w:pPr>
            <w:r>
              <w:t>地下空间体积</w:t>
            </w:r>
          </w:p>
        </w:tc>
        <w:tc>
          <w:tcPr>
            <w:tcW w:w="7217" w:type="dxa"/>
            <w:tcBorders>
              <w:tl2br w:val="nil"/>
              <w:tr2bl w:val="nil"/>
            </w:tcBorders>
            <w:shd w:val="clear" w:color="auto" w:fill="auto"/>
            <w:vAlign w:val="center"/>
          </w:tcPr>
          <w:p>
            <w:pPr>
              <w:pStyle w:val="76"/>
              <w:widowControl w:val="0"/>
            </w:pPr>
            <w:r>
              <w:t>填写地下空间外围实际所及包围的最大体积。</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2117" w:type="dxa"/>
            <w:tcBorders>
              <w:tl2br w:val="nil"/>
              <w:tr2bl w:val="nil"/>
            </w:tcBorders>
            <w:shd w:val="clear" w:color="auto" w:fill="auto"/>
            <w:vAlign w:val="center"/>
          </w:tcPr>
          <w:p>
            <w:pPr>
              <w:pStyle w:val="76"/>
              <w:widowControl w:val="0"/>
            </w:pPr>
            <w:r>
              <w:t>外围护墙厚度</w:t>
            </w:r>
          </w:p>
        </w:tc>
        <w:tc>
          <w:tcPr>
            <w:tcW w:w="7217" w:type="dxa"/>
            <w:tcBorders>
              <w:tl2br w:val="nil"/>
              <w:tr2bl w:val="nil"/>
            </w:tcBorders>
            <w:shd w:val="clear" w:color="auto" w:fill="auto"/>
            <w:vAlign w:val="center"/>
          </w:tcPr>
          <w:p>
            <w:pPr>
              <w:pStyle w:val="76"/>
              <w:widowControl w:val="0"/>
            </w:pPr>
            <w:r>
              <w:t>依据资料或探测数据，填写地下空间外围护墙体的厚度。</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2117" w:type="dxa"/>
            <w:tcBorders>
              <w:tl2br w:val="nil"/>
              <w:tr2bl w:val="nil"/>
            </w:tcBorders>
            <w:shd w:val="clear" w:color="auto" w:fill="auto"/>
            <w:vAlign w:val="center"/>
          </w:tcPr>
          <w:p>
            <w:pPr>
              <w:pStyle w:val="76"/>
              <w:widowControl w:val="0"/>
            </w:pPr>
            <w:r>
              <w:t>建设用地使用权取得方式</w:t>
            </w:r>
          </w:p>
        </w:tc>
        <w:tc>
          <w:tcPr>
            <w:tcW w:w="7217" w:type="dxa"/>
            <w:tcBorders>
              <w:tl2br w:val="nil"/>
              <w:tr2bl w:val="nil"/>
            </w:tcBorders>
            <w:shd w:val="clear" w:color="auto" w:fill="auto"/>
            <w:vAlign w:val="center"/>
          </w:tcPr>
          <w:p>
            <w:pPr>
              <w:pStyle w:val="76"/>
              <w:widowControl w:val="0"/>
            </w:pPr>
            <w:r>
              <w:t>填写划拨、出让或者协议等取得方式。</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2117" w:type="dxa"/>
            <w:tcBorders>
              <w:tl2br w:val="nil"/>
              <w:tr2bl w:val="nil"/>
            </w:tcBorders>
            <w:shd w:val="clear" w:color="auto" w:fill="auto"/>
            <w:vAlign w:val="center"/>
          </w:tcPr>
          <w:p>
            <w:pPr>
              <w:pStyle w:val="76"/>
              <w:widowControl w:val="0"/>
            </w:pPr>
            <w:r>
              <w:t>权属证明材料</w:t>
            </w:r>
          </w:p>
        </w:tc>
        <w:tc>
          <w:tcPr>
            <w:tcW w:w="7217" w:type="dxa"/>
            <w:tcBorders>
              <w:tl2br w:val="nil"/>
              <w:tr2bl w:val="nil"/>
            </w:tcBorders>
            <w:shd w:val="clear" w:color="auto" w:fill="auto"/>
            <w:vAlign w:val="center"/>
          </w:tcPr>
          <w:p>
            <w:pPr>
              <w:pStyle w:val="76"/>
              <w:widowControl w:val="0"/>
            </w:pPr>
            <w:r>
              <w:t>填写土地使用权证</w:t>
            </w:r>
            <w:r>
              <w:rPr>
                <w:rFonts w:hint="eastAsia"/>
              </w:rPr>
              <w:t>或不动产权证</w:t>
            </w:r>
            <w:r>
              <w:t>、规划许可证等的名称、编号、颁发单位和颁发时间。</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2117" w:type="dxa"/>
            <w:tcBorders>
              <w:tl2br w:val="nil"/>
              <w:tr2bl w:val="nil"/>
            </w:tcBorders>
            <w:shd w:val="clear" w:color="auto" w:fill="auto"/>
            <w:vAlign w:val="center"/>
          </w:tcPr>
          <w:p>
            <w:pPr>
              <w:pStyle w:val="76"/>
              <w:widowControl w:val="0"/>
            </w:pPr>
            <w:r>
              <w:t>批准使用年限</w:t>
            </w:r>
          </w:p>
        </w:tc>
        <w:tc>
          <w:tcPr>
            <w:tcW w:w="7217" w:type="dxa"/>
            <w:tcBorders>
              <w:tl2br w:val="nil"/>
              <w:tr2bl w:val="nil"/>
            </w:tcBorders>
            <w:shd w:val="clear" w:color="auto" w:fill="auto"/>
            <w:vAlign w:val="center"/>
          </w:tcPr>
          <w:p>
            <w:pPr>
              <w:pStyle w:val="76"/>
              <w:widowControl w:val="0"/>
            </w:pPr>
            <w:r>
              <w:t>经</w:t>
            </w:r>
            <w:r>
              <w:rPr>
                <w:rFonts w:hint="eastAsia"/>
              </w:rPr>
              <w:t>批准的</w:t>
            </w:r>
            <w:r>
              <w:t>土地使用期限，不能超过批准用途的法定最高年限</w:t>
            </w:r>
            <w:r>
              <w:rPr>
                <w:rFonts w:hint="eastAsia"/>
              </w:rPr>
              <w:t>；</w:t>
            </w:r>
            <w:r>
              <w:t>未明确土地使用期限的不填。</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2117" w:type="dxa"/>
            <w:tcBorders>
              <w:tl2br w:val="nil"/>
              <w:tr2bl w:val="nil"/>
            </w:tcBorders>
            <w:shd w:val="clear" w:color="auto" w:fill="auto"/>
            <w:vAlign w:val="center"/>
          </w:tcPr>
          <w:p>
            <w:pPr>
              <w:pStyle w:val="76"/>
              <w:widowControl w:val="0"/>
            </w:pPr>
            <w:r>
              <w:t>建成年份</w:t>
            </w:r>
          </w:p>
        </w:tc>
        <w:tc>
          <w:tcPr>
            <w:tcW w:w="7217" w:type="dxa"/>
            <w:tcBorders>
              <w:tl2br w:val="nil"/>
              <w:tr2bl w:val="nil"/>
            </w:tcBorders>
            <w:shd w:val="clear" w:color="auto" w:fill="auto"/>
            <w:vAlign w:val="center"/>
          </w:tcPr>
          <w:p>
            <w:pPr>
              <w:pStyle w:val="76"/>
              <w:widowControl w:val="0"/>
            </w:pPr>
            <w:r>
              <w:t>填写地下空间竣工建成的年份。</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2117" w:type="dxa"/>
            <w:tcBorders>
              <w:tl2br w:val="nil"/>
              <w:tr2bl w:val="nil"/>
            </w:tcBorders>
            <w:shd w:val="clear" w:color="auto" w:fill="auto"/>
            <w:vAlign w:val="center"/>
          </w:tcPr>
          <w:p>
            <w:pPr>
              <w:pStyle w:val="76"/>
              <w:widowControl w:val="0"/>
            </w:pPr>
            <w:r>
              <w:t>批准用途</w:t>
            </w:r>
          </w:p>
        </w:tc>
        <w:tc>
          <w:tcPr>
            <w:tcW w:w="7217" w:type="dxa"/>
            <w:tcBorders>
              <w:tl2br w:val="nil"/>
              <w:tr2bl w:val="nil"/>
            </w:tcBorders>
            <w:shd w:val="clear" w:color="auto" w:fill="auto"/>
            <w:vAlign w:val="center"/>
          </w:tcPr>
          <w:p>
            <w:pPr>
              <w:pStyle w:val="76"/>
              <w:widowControl w:val="0"/>
            </w:pPr>
            <w:r>
              <w:t>经审核批准的土地用途，根据土地权属来源证明文件上规定的填写。</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2117" w:type="dxa"/>
            <w:tcBorders>
              <w:tl2br w:val="nil"/>
              <w:tr2bl w:val="nil"/>
            </w:tcBorders>
            <w:shd w:val="clear" w:color="auto" w:fill="auto"/>
            <w:vAlign w:val="center"/>
          </w:tcPr>
          <w:p>
            <w:pPr>
              <w:pStyle w:val="76"/>
              <w:widowControl w:val="0"/>
            </w:pPr>
            <w:r>
              <w:t>地下工程层数</w:t>
            </w:r>
          </w:p>
        </w:tc>
        <w:tc>
          <w:tcPr>
            <w:tcW w:w="7217" w:type="dxa"/>
            <w:tcBorders>
              <w:tl2br w:val="nil"/>
              <w:tr2bl w:val="nil"/>
            </w:tcBorders>
            <w:shd w:val="clear" w:color="auto" w:fill="auto"/>
            <w:vAlign w:val="center"/>
          </w:tcPr>
          <w:p>
            <w:pPr>
              <w:pStyle w:val="76"/>
              <w:widowControl w:val="0"/>
            </w:pPr>
            <w:r>
              <w:t>实际建成的地下空间层数。</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2117" w:type="dxa"/>
            <w:tcBorders>
              <w:tl2br w:val="nil"/>
              <w:tr2bl w:val="nil"/>
            </w:tcBorders>
            <w:shd w:val="clear" w:color="auto" w:fill="auto"/>
            <w:vAlign w:val="center"/>
          </w:tcPr>
          <w:p>
            <w:pPr>
              <w:pStyle w:val="76"/>
              <w:widowControl w:val="0"/>
            </w:pPr>
            <w:r>
              <w:t>地下工程建设类型</w:t>
            </w:r>
          </w:p>
        </w:tc>
        <w:tc>
          <w:tcPr>
            <w:tcW w:w="7217" w:type="dxa"/>
            <w:tcBorders>
              <w:tl2br w:val="nil"/>
              <w:tr2bl w:val="nil"/>
            </w:tcBorders>
            <w:shd w:val="clear" w:color="auto" w:fill="auto"/>
            <w:vAlign w:val="center"/>
          </w:tcPr>
          <w:p>
            <w:pPr>
              <w:pStyle w:val="76"/>
              <w:widowControl w:val="0"/>
            </w:pPr>
            <w:r>
              <w:t>单建地下工程：独立开发建设的地下工程；结建地下工程：由同一主体结合地面建筑一并开发建设的地下工程。</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2117" w:type="dxa"/>
            <w:tcBorders>
              <w:tl2br w:val="nil"/>
              <w:tr2bl w:val="nil"/>
            </w:tcBorders>
            <w:shd w:val="clear" w:color="auto" w:fill="auto"/>
            <w:vAlign w:val="center"/>
          </w:tcPr>
          <w:p>
            <w:pPr>
              <w:pStyle w:val="76"/>
              <w:widowControl w:val="0"/>
            </w:pPr>
            <w:r>
              <w:t>地下工程出入口</w:t>
            </w:r>
          </w:p>
        </w:tc>
        <w:tc>
          <w:tcPr>
            <w:tcW w:w="7217" w:type="dxa"/>
            <w:tcBorders>
              <w:tl2br w:val="nil"/>
              <w:tr2bl w:val="nil"/>
            </w:tcBorders>
            <w:shd w:val="clear" w:color="auto" w:fill="auto"/>
            <w:vAlign w:val="center"/>
          </w:tcPr>
          <w:p>
            <w:pPr>
              <w:pStyle w:val="76"/>
              <w:widowControl w:val="0"/>
            </w:pPr>
            <w:r>
              <w:t>填写地下工程出入口的数量，各个出入口的编号、坐落、位置，以及连通情况。</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2117" w:type="dxa"/>
            <w:tcBorders>
              <w:tl2br w:val="nil"/>
              <w:tr2bl w:val="nil"/>
            </w:tcBorders>
            <w:shd w:val="clear" w:color="auto" w:fill="auto"/>
            <w:vAlign w:val="center"/>
          </w:tcPr>
          <w:p>
            <w:pPr>
              <w:pStyle w:val="76"/>
              <w:widowControl w:val="0"/>
            </w:pPr>
            <w:r>
              <w:t>地下工程分层利用情况</w:t>
            </w:r>
          </w:p>
        </w:tc>
        <w:tc>
          <w:tcPr>
            <w:tcW w:w="7217" w:type="dxa"/>
            <w:tcBorders>
              <w:tl2br w:val="nil"/>
              <w:tr2bl w:val="nil"/>
            </w:tcBorders>
            <w:shd w:val="clear" w:color="auto" w:fill="auto"/>
            <w:vAlign w:val="center"/>
          </w:tcPr>
          <w:p>
            <w:pPr>
              <w:pStyle w:val="76"/>
              <w:widowControl w:val="0"/>
            </w:pPr>
            <w:r>
              <w:t>填写地下工程各个层面的编号、建筑面积、层面净高、层面用途、顶板厚度、底板厚度和民防配建面积。</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2117" w:type="dxa"/>
            <w:tcBorders>
              <w:tl2br w:val="nil"/>
              <w:tr2bl w:val="nil"/>
            </w:tcBorders>
            <w:shd w:val="clear" w:color="auto" w:fill="auto"/>
            <w:vAlign w:val="center"/>
          </w:tcPr>
          <w:p>
            <w:pPr>
              <w:pStyle w:val="76"/>
              <w:widowControl w:val="0"/>
            </w:pPr>
            <w:r>
              <w:t>桩基范围平面投影面积</w:t>
            </w:r>
          </w:p>
        </w:tc>
        <w:tc>
          <w:tcPr>
            <w:tcW w:w="7217" w:type="dxa"/>
            <w:tcBorders>
              <w:tl2br w:val="nil"/>
              <w:tr2bl w:val="nil"/>
            </w:tcBorders>
            <w:shd w:val="clear" w:color="auto" w:fill="auto"/>
            <w:vAlign w:val="center"/>
          </w:tcPr>
          <w:p>
            <w:pPr>
              <w:pStyle w:val="76"/>
              <w:widowControl w:val="0"/>
            </w:pPr>
            <w:r>
              <w:t>桩基范围在地表的最大平面投影面积，单位为</w:t>
            </w:r>
            <w:r>
              <w:rPr>
                <w:rFonts w:hint="eastAsia"/>
              </w:rPr>
              <w:t>m</w:t>
            </w:r>
            <w:r>
              <w:rPr>
                <w:rFonts w:hint="eastAsia"/>
                <w:vertAlign w:val="superscript"/>
              </w:rPr>
              <w:t>2</w:t>
            </w:r>
            <w:r>
              <w:t>。</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2117" w:type="dxa"/>
            <w:tcBorders>
              <w:tl2br w:val="nil"/>
              <w:tr2bl w:val="nil"/>
            </w:tcBorders>
            <w:shd w:val="clear" w:color="auto" w:fill="auto"/>
            <w:vAlign w:val="center"/>
          </w:tcPr>
          <w:p>
            <w:pPr>
              <w:pStyle w:val="76"/>
              <w:widowControl w:val="0"/>
            </w:pPr>
            <w:r>
              <w:t>桩基最大深度</w:t>
            </w:r>
          </w:p>
        </w:tc>
        <w:tc>
          <w:tcPr>
            <w:tcW w:w="7217" w:type="dxa"/>
            <w:tcBorders>
              <w:tl2br w:val="nil"/>
              <w:tr2bl w:val="nil"/>
            </w:tcBorders>
            <w:shd w:val="clear" w:color="auto" w:fill="auto"/>
            <w:vAlign w:val="center"/>
          </w:tcPr>
          <w:p>
            <w:pPr>
              <w:pStyle w:val="76"/>
              <w:widowControl w:val="0"/>
            </w:pPr>
            <w:r>
              <w:t>填写桩基最大深度，单位为</w:t>
            </w:r>
            <w:r>
              <w:rPr>
                <w:rFonts w:hint="eastAsia"/>
              </w:rPr>
              <w:t>m</w:t>
            </w:r>
            <w:r>
              <w:t>。</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2117" w:type="dxa"/>
            <w:tcBorders>
              <w:tl2br w:val="nil"/>
              <w:tr2bl w:val="nil"/>
            </w:tcBorders>
            <w:shd w:val="clear" w:color="auto" w:fill="auto"/>
            <w:vAlign w:val="center"/>
          </w:tcPr>
          <w:p>
            <w:pPr>
              <w:pStyle w:val="76"/>
              <w:widowControl w:val="0"/>
            </w:pPr>
            <w:r>
              <w:t>桩基类型</w:t>
            </w:r>
          </w:p>
        </w:tc>
        <w:tc>
          <w:tcPr>
            <w:tcW w:w="7217" w:type="dxa"/>
            <w:tcBorders>
              <w:tl2br w:val="nil"/>
              <w:tr2bl w:val="nil"/>
            </w:tcBorders>
            <w:shd w:val="clear" w:color="auto" w:fill="auto"/>
            <w:vAlign w:val="center"/>
          </w:tcPr>
          <w:p>
            <w:pPr>
              <w:pStyle w:val="76"/>
              <w:widowControl w:val="0"/>
            </w:pPr>
            <w:r>
              <w:t>根据不同的桩基类型划分范围，分别填写各类桩基的型号编号、形状、尺寸、桩长、桩基数量和覆盖面积。</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2117" w:type="dxa"/>
            <w:tcBorders>
              <w:tl2br w:val="nil"/>
              <w:tr2bl w:val="nil"/>
            </w:tcBorders>
            <w:shd w:val="clear" w:color="auto" w:fill="auto"/>
            <w:vAlign w:val="center"/>
          </w:tcPr>
          <w:p>
            <w:pPr>
              <w:snapToGrid w:val="0"/>
              <w:spacing w:line="240" w:lineRule="exact"/>
              <w:jc w:val="center"/>
              <w:rPr>
                <w:sz w:val="18"/>
                <w:szCs w:val="18"/>
              </w:rPr>
            </w:pPr>
            <w:r>
              <w:rPr>
                <w:rFonts w:ascii="宋体" w:hAnsi="宋体"/>
                <w:sz w:val="18"/>
                <w:szCs w:val="18"/>
              </w:rPr>
              <w:t>地下地籍权属调查及地籍勘丈记事</w:t>
            </w:r>
          </w:p>
        </w:tc>
        <w:tc>
          <w:tcPr>
            <w:tcW w:w="7217" w:type="dxa"/>
            <w:tcBorders>
              <w:tl2br w:val="nil"/>
              <w:tr2bl w:val="nil"/>
            </w:tcBorders>
            <w:shd w:val="clear" w:color="auto" w:fill="auto"/>
            <w:vAlign w:val="center"/>
          </w:tcPr>
          <w:p>
            <w:pPr>
              <w:pStyle w:val="76"/>
              <w:widowControl w:val="0"/>
            </w:pPr>
            <w:r>
              <w:t>记录在权属调查中遇到的问题和解决情况，土地权属来源是否合法，权属是否有争议等。地籍勘丈采用的方法和仪器，地籍勘丈中遇到的问题和解决情况等。</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2117" w:type="dxa"/>
            <w:tcBorders>
              <w:tl2br w:val="nil"/>
              <w:tr2bl w:val="nil"/>
            </w:tcBorders>
            <w:shd w:val="clear" w:color="auto" w:fill="auto"/>
            <w:vAlign w:val="center"/>
          </w:tcPr>
          <w:p>
            <w:pPr>
              <w:pStyle w:val="76"/>
              <w:widowControl w:val="0"/>
            </w:pPr>
            <w:r>
              <w:t>地籍调查成果审核意见</w:t>
            </w:r>
          </w:p>
        </w:tc>
        <w:tc>
          <w:tcPr>
            <w:tcW w:w="7217" w:type="dxa"/>
            <w:tcBorders>
              <w:tl2br w:val="nil"/>
              <w:tr2bl w:val="nil"/>
            </w:tcBorders>
            <w:shd w:val="clear" w:color="auto" w:fill="auto"/>
            <w:vAlign w:val="center"/>
          </w:tcPr>
          <w:p>
            <w:pPr>
              <w:pStyle w:val="76"/>
              <w:widowControl w:val="0"/>
            </w:pPr>
            <w:r>
              <w:t>审核地籍调查成果是否符合规定要求，填写审核意见。审核负责人签字。</w:t>
            </w:r>
          </w:p>
        </w:tc>
      </w:tr>
    </w:tbl>
    <w:p>
      <w:pPr>
        <w:pStyle w:val="51"/>
        <w:rPr>
          <w:rFonts w:hint="eastAsia"/>
          <w:lang w:val="en-US" w:eastAsia="zh-CN"/>
        </w:rPr>
      </w:pPr>
    </w:p>
    <w:p>
      <w:pPr>
        <w:pStyle w:val="51"/>
        <w:rPr>
          <w:rFonts w:hint="eastAsia"/>
          <w:lang w:val="en-US" w:eastAsia="zh-CN"/>
        </w:rPr>
      </w:pPr>
    </w:p>
    <w:p>
      <w:pPr>
        <w:pStyle w:val="51"/>
        <w:sectPr>
          <w:pgSz w:w="11906" w:h="16838"/>
          <w:pgMar w:top="1417" w:right="1134" w:bottom="1134" w:left="1418" w:header="1417" w:footer="1134" w:gutter="0"/>
          <w:pgBorders>
            <w:top w:val="none" w:sz="0" w:space="0"/>
            <w:left w:val="none" w:sz="0" w:space="0"/>
            <w:bottom w:val="none" w:sz="0" w:space="0"/>
            <w:right w:val="none" w:sz="0" w:space="0"/>
          </w:pgBorders>
          <w:pgNumType w:fmt="decimal"/>
          <w:cols w:space="425" w:num="1"/>
          <w:docGrid w:type="lines" w:linePitch="312" w:charSpace="0"/>
        </w:sectPr>
      </w:pPr>
    </w:p>
    <w:p>
      <w:pPr>
        <w:pStyle w:val="6"/>
        <w:keepNext w:val="0"/>
        <w:keepLines w:val="0"/>
        <w:pageBreakBefore w:val="0"/>
        <w:widowControl w:val="0"/>
        <w:kinsoku/>
        <w:wordWrap/>
        <w:overflowPunct/>
        <w:topLinePunct w:val="0"/>
        <w:autoSpaceDE/>
        <w:autoSpaceDN/>
        <w:bidi w:val="0"/>
        <w:adjustRightInd w:val="0"/>
        <w:snapToGrid w:val="0"/>
        <w:spacing w:before="567"/>
        <w:ind w:left="0" w:leftChars="0" w:firstLine="0" w:firstLineChars="0"/>
        <w:jc w:val="center"/>
        <w:textAlignment w:val="auto"/>
        <w:outlineLvl w:val="0"/>
        <w:rPr>
          <w:rFonts w:hint="eastAsia" w:ascii="黑体" w:hAnsi="黑体" w:eastAsia="黑体" w:cs="黑体"/>
          <w:sz w:val="21"/>
          <w:szCs w:val="21"/>
          <w:lang w:val="en-US" w:eastAsia="zh-CN"/>
        </w:rPr>
      </w:pPr>
      <w:bookmarkStart w:id="292" w:name="_Toc5523"/>
      <w:r>
        <w:rPr>
          <w:rFonts w:hint="eastAsia" w:ascii="黑体" w:hAnsi="黑体" w:eastAsia="黑体" w:cs="黑体"/>
          <w:sz w:val="21"/>
          <w:szCs w:val="21"/>
          <w:lang w:val="en-US" w:eastAsia="zh-CN"/>
        </w:rPr>
        <w:t>附  录  B</w:t>
      </w:r>
      <w:bookmarkEnd w:id="292"/>
    </w:p>
    <w:p>
      <w:pPr>
        <w:pStyle w:val="7"/>
        <w:keepNext w:val="0"/>
        <w:keepLines w:val="0"/>
        <w:pageBreakBefore w:val="0"/>
        <w:widowControl w:val="0"/>
        <w:kinsoku/>
        <w:wordWrap/>
        <w:overflowPunct/>
        <w:topLinePunct w:val="0"/>
        <w:autoSpaceDE/>
        <w:autoSpaceDN/>
        <w:bidi w:val="0"/>
        <w:snapToGrid w:val="0"/>
        <w:jc w:val="center"/>
        <w:textAlignment w:val="auto"/>
        <w:outlineLvl w:val="0"/>
        <w:rPr>
          <w:rFonts w:hint="eastAsia" w:ascii="黑体" w:hAnsi="黑体" w:eastAsia="黑体" w:cs="黑体"/>
          <w:sz w:val="21"/>
          <w:szCs w:val="21"/>
          <w:lang w:val="en-US" w:eastAsia="zh-CN"/>
        </w:rPr>
      </w:pPr>
      <w:bookmarkStart w:id="293" w:name="_Toc24902"/>
      <w:bookmarkStart w:id="294" w:name="_Toc12726"/>
      <w:r>
        <w:rPr>
          <w:rFonts w:hint="eastAsia" w:ascii="黑体" w:hAnsi="黑体" w:eastAsia="黑体" w:cs="黑体"/>
          <w:sz w:val="21"/>
          <w:szCs w:val="21"/>
          <w:lang w:val="en-US" w:eastAsia="zh-CN"/>
        </w:rPr>
        <w:t>（规范性）</w:t>
      </w:r>
      <w:bookmarkEnd w:id="293"/>
      <w:bookmarkEnd w:id="294"/>
    </w:p>
    <w:p>
      <w:pPr>
        <w:pStyle w:val="7"/>
        <w:keepNext w:val="0"/>
        <w:keepLines w:val="0"/>
        <w:pageBreakBefore w:val="0"/>
        <w:widowControl w:val="0"/>
        <w:kinsoku/>
        <w:wordWrap/>
        <w:overflowPunct/>
        <w:topLinePunct w:val="0"/>
        <w:autoSpaceDE/>
        <w:autoSpaceDN/>
        <w:bidi w:val="0"/>
        <w:adjustRightInd w:val="0"/>
        <w:snapToGrid w:val="0"/>
        <w:spacing w:after="283"/>
        <w:jc w:val="center"/>
        <w:textAlignment w:val="auto"/>
        <w:outlineLvl w:val="0"/>
        <w:rPr>
          <w:rFonts w:hint="default" w:ascii="黑体" w:hAnsi="黑体" w:eastAsia="仿宋_GB2312"/>
          <w:color w:val="000000"/>
          <w:sz w:val="21"/>
          <w:szCs w:val="21"/>
          <w:lang w:val="en-US" w:eastAsia="zh-CN"/>
        </w:rPr>
      </w:pPr>
      <w:bookmarkStart w:id="295" w:name="_Toc12652"/>
      <w:r>
        <w:rPr>
          <w:rFonts w:hint="eastAsia" w:ascii="黑体" w:hAnsi="Times New Roman" w:eastAsia="黑体" w:cs="Times New Roman"/>
          <w:sz w:val="21"/>
          <w:lang w:val="en-US" w:eastAsia="zh-CN" w:bidi="ar-SA"/>
        </w:rPr>
        <w:t>地下空间定着物调查表</w:t>
      </w:r>
      <w:bookmarkEnd w:id="295"/>
    </w:p>
    <w:p>
      <w:pPr>
        <w:pStyle w:val="73"/>
        <w:numPr>
          <w:ilvl w:val="1"/>
          <w:numId w:val="0"/>
        </w:numPr>
        <w:bidi w:val="0"/>
        <w:rPr>
          <w:rFonts w:hint="eastAsia"/>
        </w:rPr>
      </w:pPr>
      <w:bookmarkStart w:id="296" w:name="_Toc176447789"/>
      <w:bookmarkStart w:id="297" w:name="_Toc182213563"/>
      <w:bookmarkStart w:id="298" w:name="_Toc176265119"/>
      <w:bookmarkStart w:id="299" w:name="_Toc180416787"/>
      <w:bookmarkStart w:id="300" w:name="_Toc24747"/>
      <w:r>
        <w:rPr>
          <w:rFonts w:hint="eastAsia"/>
          <w:lang w:val="en-US" w:eastAsia="zh-CN"/>
        </w:rPr>
        <w:t>B.1　</w:t>
      </w:r>
      <w:r>
        <w:rPr>
          <w:rFonts w:hint="eastAsia"/>
        </w:rPr>
        <w:t>地下空间定着物调查表</w:t>
      </w:r>
      <w:bookmarkEnd w:id="296"/>
      <w:bookmarkEnd w:id="297"/>
      <w:bookmarkEnd w:id="298"/>
      <w:bookmarkEnd w:id="299"/>
      <w:bookmarkEnd w:id="300"/>
    </w:p>
    <w:p>
      <w:pPr>
        <w:pStyle w:val="67"/>
        <w:ind w:firstLine="420"/>
      </w:pPr>
      <w:r>
        <w:rPr>
          <w:rFonts w:hint="eastAsia"/>
        </w:rPr>
        <w:t>地下空间定着物调查表示例见表B.1的要求。</w:t>
      </w:r>
    </w:p>
    <w:p>
      <w:pPr>
        <w:pStyle w:val="60"/>
        <w:numPr>
          <w:ilvl w:val="0"/>
          <w:numId w:val="0"/>
        </w:numPr>
        <w:rPr>
          <w:rFonts w:hint="eastAsia"/>
          <w:lang w:val="en-US" w:eastAsia="zh-CN"/>
        </w:rPr>
      </w:pPr>
      <w:r>
        <w:rPr>
          <w:rFonts w:hint="eastAsia"/>
        </w:rPr>
        <w:t>表</w:t>
      </w:r>
      <w:r>
        <w:rPr>
          <w:rFonts w:hint="eastAsia"/>
          <w:lang w:val="en-US" w:eastAsia="zh-CN"/>
        </w:rPr>
        <w:t>B</w:t>
      </w:r>
      <w:r>
        <w:rPr>
          <w:rFonts w:hint="eastAsia"/>
        </w:rPr>
        <w:t>.1</w:t>
      </w:r>
      <w:r>
        <w:rPr>
          <w:rFonts w:hint="eastAsia"/>
          <w:lang w:val="en-US" w:eastAsia="zh-CN"/>
        </w:rPr>
        <w:t xml:space="preserve"> </w:t>
      </w:r>
      <w:r>
        <w:rPr>
          <w:rFonts w:hint="eastAsia"/>
        </w:rPr>
        <w:t xml:space="preserve"> 地下空间定着物调查表</w:t>
      </w:r>
    </w:p>
    <w:tbl>
      <w:tblPr>
        <w:tblStyle w:val="21"/>
        <w:tblW w:w="0" w:type="auto"/>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0" w:type="dxa"/>
          <w:bottom w:w="0" w:type="dxa"/>
          <w:right w:w="0" w:type="dxa"/>
        </w:tblCellMar>
      </w:tblPr>
      <w:tblGrid>
        <w:gridCol w:w="2284"/>
        <w:gridCol w:w="2274"/>
        <w:gridCol w:w="1108"/>
        <w:gridCol w:w="3435"/>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blHeader/>
          <w:jc w:val="center"/>
        </w:trPr>
        <w:tc>
          <w:tcPr>
            <w:tcW w:w="9334" w:type="dxa"/>
            <w:gridSpan w:val="4"/>
            <w:shd w:val="clear" w:color="auto" w:fill="auto"/>
            <w:vAlign w:val="center"/>
          </w:tcPr>
          <w:p>
            <w:pPr>
              <w:pStyle w:val="76"/>
              <w:widowControl w:val="0"/>
            </w:pPr>
            <w:r>
              <w:rPr>
                <w:rFonts w:hint="eastAsia"/>
              </w:rPr>
              <w:t>地下空间定着物调查表</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2335" w:type="dxa"/>
            <w:shd w:val="clear" w:color="auto" w:fill="auto"/>
            <w:vAlign w:val="center"/>
          </w:tcPr>
          <w:p>
            <w:pPr>
              <w:pStyle w:val="76"/>
              <w:widowControl w:val="0"/>
            </w:pPr>
            <w:r>
              <w:rPr>
                <w:rFonts w:hint="eastAsia"/>
              </w:rPr>
              <w:t>宗地代码</w:t>
            </w:r>
          </w:p>
        </w:tc>
        <w:tc>
          <w:tcPr>
            <w:tcW w:w="2333" w:type="dxa"/>
            <w:shd w:val="clear" w:color="auto" w:fill="auto"/>
            <w:vAlign w:val="center"/>
          </w:tcPr>
          <w:p>
            <w:pPr>
              <w:pStyle w:val="76"/>
              <w:widowControl w:val="0"/>
            </w:pPr>
          </w:p>
        </w:tc>
        <w:tc>
          <w:tcPr>
            <w:tcW w:w="1134" w:type="dxa"/>
            <w:shd w:val="clear" w:color="auto" w:fill="auto"/>
            <w:vAlign w:val="center"/>
          </w:tcPr>
          <w:p>
            <w:pPr>
              <w:pStyle w:val="76"/>
              <w:widowControl w:val="0"/>
            </w:pPr>
            <w:r>
              <w:rPr>
                <w:rFonts w:hint="eastAsia"/>
              </w:rPr>
              <w:t>坐落</w:t>
            </w:r>
          </w:p>
        </w:tc>
        <w:tc>
          <w:tcPr>
            <w:tcW w:w="3532"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2335" w:type="dxa"/>
            <w:shd w:val="clear" w:color="auto" w:fill="auto"/>
            <w:vAlign w:val="center"/>
          </w:tcPr>
          <w:p>
            <w:pPr>
              <w:pStyle w:val="76"/>
              <w:widowControl w:val="0"/>
            </w:pPr>
            <w:r>
              <w:rPr>
                <w:rFonts w:hint="eastAsia"/>
              </w:rPr>
              <w:t>不动产单元代码</w:t>
            </w:r>
          </w:p>
        </w:tc>
        <w:tc>
          <w:tcPr>
            <w:tcW w:w="6999" w:type="dxa"/>
            <w:gridSpan w:val="3"/>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2335" w:type="dxa"/>
            <w:vMerge w:val="restart"/>
            <w:shd w:val="clear" w:color="auto" w:fill="auto"/>
            <w:vAlign w:val="center"/>
          </w:tcPr>
          <w:p>
            <w:pPr>
              <w:pStyle w:val="76"/>
              <w:widowControl w:val="0"/>
            </w:pPr>
            <w:r>
              <w:rPr>
                <w:rFonts w:hint="eastAsia"/>
              </w:rPr>
              <w:t>定着物</w:t>
            </w:r>
          </w:p>
        </w:tc>
        <w:tc>
          <w:tcPr>
            <w:tcW w:w="2333" w:type="dxa"/>
            <w:vMerge w:val="restart"/>
            <w:shd w:val="clear" w:color="auto" w:fill="auto"/>
            <w:vAlign w:val="center"/>
          </w:tcPr>
          <w:p>
            <w:pPr>
              <w:pStyle w:val="76"/>
              <w:widowControl w:val="0"/>
            </w:pPr>
            <w:r>
              <w:rPr>
                <w:rFonts w:hint="eastAsia"/>
              </w:rPr>
              <w:t>□所有权人</w:t>
            </w:r>
          </w:p>
          <w:p>
            <w:pPr>
              <w:pStyle w:val="76"/>
              <w:widowControl w:val="0"/>
            </w:pPr>
            <w:r>
              <w:rPr>
                <w:rFonts w:hint="eastAsia"/>
              </w:rPr>
              <w:t>□实际使用人</w:t>
            </w:r>
          </w:p>
        </w:tc>
        <w:tc>
          <w:tcPr>
            <w:tcW w:w="1134" w:type="dxa"/>
            <w:shd w:val="clear" w:color="auto" w:fill="auto"/>
            <w:vAlign w:val="center"/>
          </w:tcPr>
          <w:p>
            <w:pPr>
              <w:pStyle w:val="76"/>
              <w:widowControl w:val="0"/>
            </w:pPr>
            <w:r>
              <w:rPr>
                <w:rFonts w:hint="eastAsia"/>
              </w:rPr>
              <w:t>证件种类</w:t>
            </w:r>
          </w:p>
        </w:tc>
        <w:tc>
          <w:tcPr>
            <w:tcW w:w="3532"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2335" w:type="dxa"/>
            <w:vMerge w:val="continue"/>
            <w:shd w:val="clear" w:color="auto" w:fill="auto"/>
            <w:vAlign w:val="center"/>
          </w:tcPr>
          <w:p>
            <w:pPr>
              <w:pStyle w:val="76"/>
              <w:widowControl w:val="0"/>
            </w:pPr>
          </w:p>
        </w:tc>
        <w:tc>
          <w:tcPr>
            <w:tcW w:w="2333" w:type="dxa"/>
            <w:vMerge w:val="continue"/>
            <w:shd w:val="clear" w:color="auto" w:fill="auto"/>
            <w:vAlign w:val="center"/>
          </w:tcPr>
          <w:p>
            <w:pPr>
              <w:pStyle w:val="76"/>
              <w:widowControl w:val="0"/>
            </w:pPr>
          </w:p>
        </w:tc>
        <w:tc>
          <w:tcPr>
            <w:tcW w:w="1134" w:type="dxa"/>
            <w:shd w:val="clear" w:color="auto" w:fill="auto"/>
            <w:vAlign w:val="center"/>
          </w:tcPr>
          <w:p>
            <w:pPr>
              <w:pStyle w:val="76"/>
              <w:widowControl w:val="0"/>
            </w:pPr>
            <w:r>
              <w:rPr>
                <w:rFonts w:hint="eastAsia"/>
              </w:rPr>
              <w:t>证件号</w:t>
            </w:r>
          </w:p>
        </w:tc>
        <w:tc>
          <w:tcPr>
            <w:tcW w:w="3532" w:type="dxa"/>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2335" w:type="dxa"/>
            <w:shd w:val="clear" w:color="auto" w:fill="auto"/>
            <w:vAlign w:val="center"/>
          </w:tcPr>
          <w:p>
            <w:pPr>
              <w:pStyle w:val="76"/>
              <w:widowControl w:val="0"/>
            </w:pPr>
            <w:r>
              <w:rPr>
                <w:rFonts w:hint="eastAsia"/>
              </w:rPr>
              <w:t>权利人类型</w:t>
            </w:r>
          </w:p>
        </w:tc>
        <w:tc>
          <w:tcPr>
            <w:tcW w:w="6999" w:type="dxa"/>
            <w:gridSpan w:val="3"/>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2335" w:type="dxa"/>
            <w:shd w:val="clear" w:color="auto" w:fill="auto"/>
            <w:vAlign w:val="center"/>
          </w:tcPr>
          <w:p>
            <w:pPr>
              <w:pStyle w:val="76"/>
              <w:widowControl w:val="0"/>
            </w:pPr>
            <w:r>
              <w:rPr>
                <w:rFonts w:hint="eastAsia"/>
              </w:rPr>
              <w:t>定着物类型</w:t>
            </w:r>
          </w:p>
        </w:tc>
        <w:tc>
          <w:tcPr>
            <w:tcW w:w="6999" w:type="dxa"/>
            <w:gridSpan w:val="3"/>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2335" w:type="dxa"/>
            <w:shd w:val="clear" w:color="auto" w:fill="auto"/>
            <w:vAlign w:val="center"/>
          </w:tcPr>
          <w:p>
            <w:pPr>
              <w:pStyle w:val="76"/>
              <w:widowControl w:val="0"/>
            </w:pPr>
            <w:r>
              <w:rPr>
                <w:rFonts w:hint="eastAsia"/>
              </w:rPr>
              <w:t>定着物用途</w:t>
            </w:r>
          </w:p>
        </w:tc>
        <w:tc>
          <w:tcPr>
            <w:tcW w:w="6999" w:type="dxa"/>
            <w:gridSpan w:val="3"/>
            <w:shd w:val="clear" w:color="auto" w:fill="auto"/>
            <w:vAlign w:val="center"/>
          </w:tcPr>
          <w:p>
            <w:pPr>
              <w:pStyle w:val="76"/>
              <w:widowControl w:val="0"/>
            </w:pPr>
            <w:r>
              <w:rPr>
                <w:rFonts w:hint="eastAsia"/>
              </w:rPr>
              <w:t>□轨道交通 □人防工程 □地下车位 □商业 □其他</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2335" w:type="dxa"/>
            <w:shd w:val="clear" w:color="auto" w:fill="auto"/>
            <w:vAlign w:val="center"/>
          </w:tcPr>
          <w:p>
            <w:pPr>
              <w:pStyle w:val="76"/>
              <w:widowControl w:val="0"/>
            </w:pPr>
            <w:r>
              <w:rPr>
                <w:rFonts w:hint="eastAsia"/>
              </w:rPr>
              <w:t>定着物面积（</w:t>
            </w:r>
            <w:r>
              <w:t>m</w:t>
            </w:r>
            <w:r>
              <w:rPr>
                <w:vertAlign w:val="superscript"/>
              </w:rPr>
              <w:t>2</w:t>
            </w:r>
            <w:r>
              <w:rPr>
                <w:rFonts w:hint="eastAsia"/>
              </w:rPr>
              <w:t>）</w:t>
            </w:r>
          </w:p>
        </w:tc>
        <w:tc>
          <w:tcPr>
            <w:tcW w:w="6999" w:type="dxa"/>
            <w:gridSpan w:val="3"/>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2335" w:type="dxa"/>
            <w:shd w:val="clear" w:color="auto" w:fill="auto"/>
            <w:vAlign w:val="center"/>
          </w:tcPr>
          <w:p>
            <w:pPr>
              <w:pStyle w:val="76"/>
              <w:widowControl w:val="0"/>
            </w:pPr>
            <w:r>
              <w:rPr>
                <w:rFonts w:hint="eastAsia"/>
              </w:rPr>
              <w:t>竣工时间</w:t>
            </w:r>
          </w:p>
        </w:tc>
        <w:tc>
          <w:tcPr>
            <w:tcW w:w="6999" w:type="dxa"/>
            <w:gridSpan w:val="3"/>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2335" w:type="dxa"/>
            <w:shd w:val="clear" w:color="auto" w:fill="auto"/>
            <w:vAlign w:val="center"/>
          </w:tcPr>
          <w:p>
            <w:pPr>
              <w:pStyle w:val="76"/>
              <w:widowControl w:val="0"/>
            </w:pPr>
            <w:r>
              <w:rPr>
                <w:rFonts w:hint="eastAsia"/>
              </w:rPr>
              <w:t>共有情况</w:t>
            </w:r>
          </w:p>
        </w:tc>
        <w:tc>
          <w:tcPr>
            <w:tcW w:w="6999" w:type="dxa"/>
            <w:gridSpan w:val="3"/>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jc w:val="center"/>
        </w:trPr>
        <w:tc>
          <w:tcPr>
            <w:tcW w:w="2335" w:type="dxa"/>
            <w:shd w:val="clear" w:color="auto" w:fill="auto"/>
            <w:vAlign w:val="center"/>
          </w:tcPr>
          <w:p>
            <w:pPr>
              <w:pStyle w:val="76"/>
              <w:widowControl w:val="0"/>
            </w:pPr>
            <w:r>
              <w:rPr>
                <w:rFonts w:hint="eastAsia"/>
              </w:rPr>
              <w:t>备注</w:t>
            </w:r>
          </w:p>
        </w:tc>
        <w:tc>
          <w:tcPr>
            <w:tcW w:w="6999" w:type="dxa"/>
            <w:gridSpan w:val="3"/>
            <w:shd w:val="clear" w:color="auto" w:fill="auto"/>
            <w:vAlign w:val="center"/>
          </w:tcPr>
          <w:p>
            <w:pPr>
              <w:pStyle w:val="76"/>
              <w:widowControl w:val="0"/>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651" w:hRule="atLeast"/>
          <w:jc w:val="center"/>
        </w:trPr>
        <w:tc>
          <w:tcPr>
            <w:tcW w:w="9334" w:type="dxa"/>
            <w:gridSpan w:val="4"/>
            <w:shd w:val="clear" w:color="auto" w:fill="auto"/>
          </w:tcPr>
          <w:p>
            <w:pPr>
              <w:pStyle w:val="76"/>
              <w:widowControl w:val="0"/>
            </w:pPr>
            <w:r>
              <w:rPr>
                <w:rFonts w:hint="eastAsia"/>
              </w:rPr>
              <w:t>附图</w:t>
            </w:r>
          </w:p>
          <w:p>
            <w:pPr>
              <w:pStyle w:val="76"/>
              <w:widowControl w:val="0"/>
            </w:pPr>
            <w:r>
              <w:rPr>
                <w:rFonts w:hint="eastAsia"/>
              </w:rPr>
              <w:t>（定着物平面图，可附页）</w:t>
            </w:r>
          </w:p>
        </w:tc>
      </w:tr>
    </w:tbl>
    <w:p>
      <w:pPr>
        <w:pStyle w:val="51"/>
        <w:ind w:left="0" w:leftChars="0" w:firstLine="0" w:firstLineChars="0"/>
        <w:rPr>
          <w:rFonts w:hint="eastAsia"/>
        </w:rPr>
      </w:pPr>
      <w:r>
        <w:rPr>
          <w:rFonts w:hint="eastAsia"/>
        </w:rPr>
        <w:t>调查员：      日期：     年   月   日    审核员：      日期：     年   月   日</w:t>
      </w:r>
    </w:p>
    <w:p>
      <w:pPr>
        <w:pStyle w:val="51"/>
        <w:ind w:left="0" w:leftChars="0" w:firstLine="0" w:firstLineChars="0"/>
        <w:rPr>
          <w:rFonts w:hint="default"/>
          <w:lang w:val="en-US" w:eastAsia="zh-CN"/>
        </w:rPr>
      </w:pPr>
    </w:p>
    <w:p>
      <w:pPr>
        <w:pStyle w:val="73"/>
        <w:keepNext w:val="0"/>
        <w:keepLines w:val="0"/>
        <w:pageBreakBefore w:val="0"/>
        <w:widowControl w:val="0"/>
        <w:numPr>
          <w:ilvl w:val="1"/>
          <w:numId w:val="0"/>
        </w:numPr>
        <w:kinsoku/>
        <w:wordWrap/>
        <w:overflowPunct/>
        <w:topLinePunct w:val="0"/>
        <w:autoSpaceDE/>
        <w:autoSpaceDN/>
        <w:bidi w:val="0"/>
        <w:adjustRightInd/>
        <w:snapToGrid/>
        <w:spacing w:before="156" w:after="156"/>
        <w:ind w:left="0" w:leftChars="0" w:firstLine="0" w:firstLineChars="0"/>
        <w:textAlignment w:val="auto"/>
      </w:pPr>
      <w:bookmarkStart w:id="301" w:name="_Toc176447790"/>
      <w:bookmarkStart w:id="302" w:name="_Toc1930"/>
      <w:bookmarkStart w:id="303" w:name="_Toc180416788"/>
      <w:bookmarkStart w:id="304" w:name="_Toc182213564"/>
      <w:bookmarkStart w:id="305" w:name="_Toc176265120"/>
      <w:r>
        <w:rPr>
          <w:rFonts w:hint="eastAsia" w:cs="Times New Roman"/>
          <w:b w:val="0"/>
          <w:i w:val="0"/>
          <w:snapToGrid/>
          <w:spacing w:val="0"/>
          <w:w w:val="100"/>
          <w:kern w:val="21"/>
          <w:sz w:val="21"/>
          <w:lang w:val="en-US" w:eastAsia="zh-CN" w:bidi="ar-SA"/>
        </w:rPr>
        <w:t>B</w:t>
      </w:r>
      <w:r>
        <w:rPr>
          <w:rFonts w:hint="eastAsia" w:ascii="黑体" w:hAnsi="Times New Roman" w:eastAsia="黑体" w:cs="Times New Roman"/>
          <w:b w:val="0"/>
          <w:i w:val="0"/>
          <w:snapToGrid/>
          <w:spacing w:val="0"/>
          <w:w w:val="100"/>
          <w:kern w:val="21"/>
          <w:sz w:val="21"/>
          <w:lang w:val="en-US" w:eastAsia="zh-CN" w:bidi="ar-SA"/>
        </w:rPr>
        <w:t>.</w:t>
      </w:r>
      <w:r>
        <w:rPr>
          <w:rFonts w:hint="eastAsia" w:cs="Times New Roman"/>
          <w:b w:val="0"/>
          <w:i w:val="0"/>
          <w:snapToGrid/>
          <w:spacing w:val="0"/>
          <w:w w:val="100"/>
          <w:kern w:val="21"/>
          <w:sz w:val="21"/>
          <w:lang w:val="en-US" w:eastAsia="zh-CN" w:bidi="ar-SA"/>
        </w:rPr>
        <w:t>2</w:t>
      </w:r>
      <w:r>
        <w:rPr>
          <w:rFonts w:hint="eastAsia" w:ascii="黑体" w:hAnsi="Times New Roman" w:eastAsia="黑体" w:cs="Times New Roman"/>
          <w:b w:val="0"/>
          <w:i w:val="0"/>
          <w:snapToGrid/>
          <w:spacing w:val="0"/>
          <w:w w:val="100"/>
          <w:kern w:val="21"/>
          <w:sz w:val="21"/>
          <w:lang w:val="en-US" w:eastAsia="zh-CN" w:bidi="ar-SA"/>
        </w:rPr>
        <w:t>　</w:t>
      </w:r>
      <w:r>
        <w:rPr>
          <w:rFonts w:hint="eastAsia"/>
        </w:rPr>
        <w:t>填写方法</w:t>
      </w:r>
      <w:bookmarkEnd w:id="301"/>
      <w:bookmarkEnd w:id="302"/>
      <w:bookmarkEnd w:id="303"/>
      <w:bookmarkEnd w:id="304"/>
      <w:bookmarkEnd w:id="305"/>
    </w:p>
    <w:p>
      <w:pPr>
        <w:pStyle w:val="67"/>
        <w:ind w:firstLine="420"/>
      </w:pPr>
      <w:r>
        <w:rPr>
          <w:rFonts w:hint="eastAsia"/>
        </w:rPr>
        <w:t>填写方法包括但不限于：</w:t>
      </w:r>
    </w:p>
    <w:p>
      <w:pPr>
        <w:pStyle w:val="78"/>
        <w:numPr>
          <w:ilvl w:val="0"/>
          <w:numId w:val="41"/>
        </w:numPr>
      </w:pPr>
      <w:r>
        <w:rPr>
          <w:rFonts w:hint="eastAsia"/>
        </w:rPr>
        <w:t>宗地代码：填写根据GB/T 37346编制的代码；</w:t>
      </w:r>
    </w:p>
    <w:p>
      <w:pPr>
        <w:pStyle w:val="78"/>
        <w:numPr>
          <w:ilvl w:val="0"/>
          <w:numId w:val="41"/>
        </w:numPr>
      </w:pPr>
      <w:r>
        <w:rPr>
          <w:rFonts w:hint="eastAsia"/>
        </w:rPr>
        <w:t>不动产单元代码：填写根据GB/T 37346编制的代码；</w:t>
      </w:r>
    </w:p>
    <w:p>
      <w:pPr>
        <w:pStyle w:val="78"/>
        <w:numPr>
          <w:ilvl w:val="0"/>
          <w:numId w:val="41"/>
        </w:numPr>
      </w:pPr>
      <w:r>
        <w:rPr>
          <w:rFonts w:hint="eastAsia"/>
        </w:rPr>
        <w:t>坐落：依法确定的构（建）筑物的坐落；</w:t>
      </w:r>
    </w:p>
    <w:p>
      <w:pPr>
        <w:pStyle w:val="78"/>
        <w:numPr>
          <w:ilvl w:val="0"/>
          <w:numId w:val="41"/>
        </w:numPr>
      </w:pPr>
      <w:r>
        <w:rPr>
          <w:rFonts w:hint="eastAsia"/>
        </w:rPr>
        <w:t>当无权属来源材料时，画“√”选择实际使用人，否则选择所有权人；</w:t>
      </w:r>
    </w:p>
    <w:p>
      <w:pPr>
        <w:pStyle w:val="78"/>
        <w:numPr>
          <w:ilvl w:val="0"/>
          <w:numId w:val="41"/>
        </w:numPr>
      </w:pPr>
      <w:r>
        <w:rPr>
          <w:rFonts w:hint="eastAsia"/>
        </w:rPr>
        <w:t>所有权人或实际使用人：填写所有权人或实际使用人的姓名或名称，所有权人或实际使用人为自然人的，填写身份证明上的姓名；权利人或实际使用人为法人或其他组织的，填写身份证明上的名称；</w:t>
      </w:r>
    </w:p>
    <w:p>
      <w:pPr>
        <w:pStyle w:val="78"/>
        <w:numPr>
          <w:ilvl w:val="0"/>
          <w:numId w:val="41"/>
        </w:numPr>
      </w:pPr>
      <w:r>
        <w:rPr>
          <w:rFonts w:hint="eastAsia"/>
        </w:rPr>
        <w:t>证件种类：填写所有权人或实际使用人身份证件的种类。境内自然人的，填写居民身份证，无居民身份证的，填写户口簿或军官证等；法人或其他组织的，填写社会信用代码；港澳同胞的，填写港澳居民来往内地通行证或港澳同胞回乡证或居民身份证；台湾同胞的，填写台湾居民来往大陆通行证或其他有效旅行证件或在台湾地区居住的有效身份证件或经确认的身份证件；外籍人的，填写护照或中国政府主管机关签发的居留证件；</w:t>
      </w:r>
    </w:p>
    <w:p>
      <w:pPr>
        <w:pStyle w:val="78"/>
        <w:numPr>
          <w:ilvl w:val="0"/>
          <w:numId w:val="41"/>
        </w:numPr>
      </w:pPr>
      <w:r>
        <w:rPr>
          <w:rFonts w:hint="eastAsia"/>
        </w:rPr>
        <w:t>证件号：填写所有权人或实际使用人身份证件上的编号；</w:t>
      </w:r>
    </w:p>
    <w:p>
      <w:pPr>
        <w:pStyle w:val="78"/>
        <w:numPr>
          <w:ilvl w:val="0"/>
          <w:numId w:val="41"/>
        </w:numPr>
      </w:pPr>
      <w:r>
        <w:rPr>
          <w:rFonts w:hint="eastAsia"/>
        </w:rPr>
        <w:t>权利人或实际使用人类型：填写个人、企业、事业单位、国家机关，无法归类的，填写其他；</w:t>
      </w:r>
    </w:p>
    <w:p>
      <w:pPr>
        <w:pStyle w:val="78"/>
        <w:numPr>
          <w:ilvl w:val="0"/>
          <w:numId w:val="41"/>
        </w:numPr>
      </w:pPr>
      <w:r>
        <w:rPr>
          <w:rFonts w:hint="eastAsia"/>
        </w:rPr>
        <w:t>定着物类型：填写定着物的类型，如结建、单建；</w:t>
      </w:r>
    </w:p>
    <w:p>
      <w:pPr>
        <w:pStyle w:val="78"/>
        <w:numPr>
          <w:ilvl w:val="0"/>
          <w:numId w:val="41"/>
        </w:numPr>
      </w:pPr>
      <w:r>
        <w:rPr>
          <w:rFonts w:hint="eastAsia"/>
        </w:rPr>
        <w:t>定着物用途：填写构（建）筑物规划许可文件及其所附图件中确定的用途，否则填写实际用途。打“√”选择。如果是有地下车位的人防空间，则同时选择人防空间和地下车位。</w:t>
      </w:r>
    </w:p>
    <w:p>
      <w:pPr>
        <w:pStyle w:val="78"/>
        <w:numPr>
          <w:ilvl w:val="0"/>
          <w:numId w:val="41"/>
        </w:numPr>
      </w:pPr>
      <w:r>
        <w:rPr>
          <w:rFonts w:hint="eastAsia"/>
        </w:rPr>
        <w:t>定着物面积：填写定着物的测量面积；</w:t>
      </w:r>
    </w:p>
    <w:p>
      <w:pPr>
        <w:pStyle w:val="78"/>
        <w:numPr>
          <w:ilvl w:val="0"/>
          <w:numId w:val="41"/>
        </w:numPr>
      </w:pPr>
      <w:r>
        <w:rPr>
          <w:rFonts w:hint="eastAsia"/>
        </w:rPr>
        <w:t>竣工时间：填写定着物竣工验收文件或权属来源材料中确定的竣工时间。如果是询问的竣工时间，在调查表的备注栏说明询问对象的姓名和身份；</w:t>
      </w:r>
    </w:p>
    <w:p>
      <w:pPr>
        <w:pStyle w:val="78"/>
        <w:numPr>
          <w:ilvl w:val="0"/>
          <w:numId w:val="41"/>
        </w:numPr>
        <w:sectPr>
          <w:headerReference r:id="rId22" w:type="default"/>
          <w:footerReference r:id="rId24" w:type="default"/>
          <w:headerReference r:id="rId23" w:type="even"/>
          <w:footerReference r:id="rId25" w:type="even"/>
          <w:pgSz w:w="11906" w:h="16838"/>
          <w:pgMar w:top="1417" w:right="1134" w:bottom="1134" w:left="1417" w:header="1418" w:footer="1134" w:gutter="284"/>
          <w:pgBorders>
            <w:top w:val="none" w:sz="0" w:space="0"/>
            <w:left w:val="none" w:sz="0" w:space="0"/>
            <w:bottom w:val="none" w:sz="0" w:space="0"/>
            <w:right w:val="none" w:sz="0" w:space="0"/>
          </w:pgBorders>
          <w:pgNumType w:fmt="decimal"/>
          <w:cols w:space="425" w:num="1"/>
          <w:formProt w:val="0"/>
          <w:docGrid w:type="lines" w:linePitch="312" w:charSpace="0"/>
        </w:sectPr>
      </w:pPr>
      <w:r>
        <w:rPr>
          <w:rFonts w:hint="eastAsia"/>
        </w:rPr>
        <w:t>共有情况：填写单独所有、按份共有或共同共有。属于按份共有的，还要填写共有的份额。</w:t>
      </w:r>
    </w:p>
    <w:p>
      <w:pPr>
        <w:pStyle w:val="75"/>
        <w:shd w:val="clear" w:color="FFFFFF" w:fill="FFFFFF"/>
        <w:spacing w:before="567" w:after="283" w:afterLines="0"/>
        <w:rPr>
          <w:rFonts w:hint="eastAsia"/>
          <w:spacing w:val="105"/>
          <w:lang w:val="en-US" w:eastAsia="zh-CN"/>
        </w:rPr>
      </w:pPr>
      <w:bookmarkStart w:id="306" w:name="_Toc31239"/>
      <w:bookmarkStart w:id="307" w:name="_Toc8436"/>
      <w:bookmarkStart w:id="308" w:name="_Toc120179958"/>
      <w:r>
        <w:rPr>
          <w:rFonts w:hint="eastAsia"/>
          <w:spacing w:val="105"/>
          <w:lang w:val="en-US" w:eastAsia="zh-CN"/>
        </w:rPr>
        <w:t>参考文献</w:t>
      </w:r>
      <w:bookmarkEnd w:id="306"/>
      <w:bookmarkEnd w:id="307"/>
      <w:bookmarkEnd w:id="308"/>
    </w:p>
    <w:p>
      <w:pPr>
        <w:pStyle w:val="67"/>
        <w:numPr>
          <w:ilvl w:val="0"/>
          <w:numId w:val="42"/>
        </w:numPr>
        <w:ind w:firstLine="420"/>
        <w:rPr>
          <w:rFonts w:hint="eastAsia" w:ascii="宋体" w:hAnsi="Times New Roman" w:eastAsia="宋体" w:cs="Times New Roman"/>
        </w:rPr>
      </w:pPr>
      <w:r>
        <w:rPr>
          <w:rFonts w:hint="eastAsia" w:ascii="宋体" w:hAnsi="Times New Roman" w:eastAsia="宋体" w:cs="Times New Roman"/>
        </w:rPr>
        <w:t xml:space="preserve"> GB/T 4754  国民经济行业分类</w:t>
      </w:r>
    </w:p>
    <w:p>
      <w:pPr>
        <w:pStyle w:val="67"/>
        <w:numPr>
          <w:ilvl w:val="0"/>
          <w:numId w:val="42"/>
        </w:numPr>
        <w:ind w:firstLine="420"/>
        <w:rPr>
          <w:rFonts w:hint="eastAsia" w:ascii="宋体" w:hAnsi="Times New Roman" w:eastAsia="宋体" w:cs="Times New Roman"/>
        </w:rPr>
      </w:pPr>
      <w:r>
        <w:rPr>
          <w:rFonts w:hint="eastAsia" w:ascii="宋体" w:hAnsi="Times New Roman" w:eastAsia="宋体" w:cs="Times New Roman"/>
        </w:rPr>
        <w:t xml:space="preserve"> GB/T 17941  数字测绘成果质量要求</w:t>
      </w:r>
    </w:p>
    <w:p>
      <w:pPr>
        <w:pStyle w:val="67"/>
        <w:numPr>
          <w:ilvl w:val="0"/>
          <w:numId w:val="42"/>
        </w:numPr>
        <w:ind w:firstLine="420"/>
        <w:rPr>
          <w:rFonts w:hint="eastAsia" w:ascii="宋体" w:hAnsi="Times New Roman" w:eastAsia="宋体" w:cs="Times New Roman"/>
        </w:rPr>
      </w:pPr>
      <w:r>
        <w:rPr>
          <w:rFonts w:hint="eastAsia" w:ascii="宋体" w:hAnsi="Times New Roman" w:eastAsia="宋体" w:cs="Times New Roman"/>
        </w:rPr>
        <w:t xml:space="preserve"> GB/T 21010  土地利用现状分类</w:t>
      </w:r>
    </w:p>
    <w:p>
      <w:pPr>
        <w:pStyle w:val="67"/>
        <w:numPr>
          <w:ilvl w:val="0"/>
          <w:numId w:val="42"/>
        </w:numPr>
        <w:ind w:firstLine="420"/>
        <w:rPr>
          <w:rFonts w:hint="eastAsia" w:ascii="宋体" w:hAnsi="Times New Roman" w:eastAsia="宋体" w:cs="Times New Roman"/>
        </w:rPr>
      </w:pPr>
      <w:r>
        <w:rPr>
          <w:rFonts w:hint="eastAsia" w:ascii="宋体" w:hAnsi="Times New Roman" w:eastAsia="宋体" w:cs="Times New Roman"/>
        </w:rPr>
        <w:t>《苏州市地下（地上）空间建设用地使用权利用和登记暂行办法》（苏府规字〔2021〕7号）</w:t>
      </w:r>
    </w:p>
    <w:p>
      <w:pPr>
        <w:pStyle w:val="67"/>
        <w:numPr>
          <w:ilvl w:val="0"/>
          <w:numId w:val="42"/>
        </w:numPr>
        <w:ind w:firstLine="420"/>
        <w:rPr>
          <w:rFonts w:hint="eastAsia" w:ascii="宋体" w:hAnsi="Times New Roman" w:eastAsia="宋体" w:cs="Times New Roman"/>
        </w:rPr>
      </w:pPr>
      <w:r>
        <w:rPr>
          <w:rFonts w:hint="eastAsia" w:ascii="宋体" w:hAnsi="Times New Roman" w:eastAsia="宋体" w:cs="Times New Roman"/>
        </w:rPr>
        <w:t xml:space="preserve"> 《关于开展苏州市区新建商品住宅项目地下车位销售及不动产登记试行工作的通知》（苏住建房〔2024〕4号）</w:t>
      </w:r>
    </w:p>
    <w:p>
      <w:pPr>
        <w:tabs>
          <w:tab w:val="left" w:pos="6335"/>
        </w:tabs>
        <w:bidi w:val="0"/>
        <w:jc w:val="left"/>
        <w:rPr>
          <w:rFonts w:hint="default" w:ascii="黑体" w:hAnsi="黑体" w:eastAsia="黑体" w:cs="黑体"/>
          <w:sz w:val="18"/>
          <w:szCs w:val="18"/>
          <w:lang w:val="en-US" w:eastAsia="zh-CN"/>
        </w:rPr>
      </w:pPr>
      <w:r>
        <w:rPr>
          <w:rFonts w:ascii="黑体" w:hAnsi="黑体" w:eastAsia="黑体"/>
        </w:rPr>
        <mc:AlternateContent>
          <mc:Choice Requires="wps">
            <w:drawing>
              <wp:anchor distT="0" distB="0" distL="114300" distR="114300" simplePos="0" relativeHeight="251665408" behindDoc="0" locked="0" layoutInCell="1" allowOverlap="1">
                <wp:simplePos x="0" y="0"/>
                <wp:positionH relativeFrom="column">
                  <wp:posOffset>2111375</wp:posOffset>
                </wp:positionH>
                <wp:positionV relativeFrom="paragraph">
                  <wp:posOffset>174625</wp:posOffset>
                </wp:positionV>
                <wp:extent cx="1800225" cy="0"/>
                <wp:effectExtent l="0" t="0" r="0" b="0"/>
                <wp:wrapNone/>
                <wp:docPr id="25" name="直接箭头连接符 5"/>
                <wp:cNvGraphicFramePr/>
                <a:graphic xmlns:a="http://schemas.openxmlformats.org/drawingml/2006/main">
                  <a:graphicData uri="http://schemas.microsoft.com/office/word/2010/wordprocessingShape">
                    <wps:wsp>
                      <wps:cNvCnPr>
                        <a:cxnSpLocks noChangeShapeType="1"/>
                      </wps:cNvCnPr>
                      <wps:spPr bwMode="auto">
                        <a:xfrm>
                          <a:off x="2970530" y="3605530"/>
                          <a:ext cx="1800225" cy="0"/>
                        </a:xfrm>
                        <a:prstGeom prst="straightConnector1">
                          <a:avLst/>
                        </a:prstGeom>
                        <a:noFill/>
                        <a:ln w="9525">
                          <a:solidFill>
                            <a:srgbClr val="000000"/>
                          </a:solidFill>
                          <a:round/>
                        </a:ln>
                        <a:effectLst/>
                      </wps:spPr>
                      <wps:bodyPr/>
                    </wps:wsp>
                  </a:graphicData>
                </a:graphic>
              </wp:anchor>
            </w:drawing>
          </mc:Choice>
          <mc:Fallback>
            <w:pict>
              <v:shape id="直接箭头连接符 5" o:spid="_x0000_s1026" o:spt="32" type="#_x0000_t32" style="position:absolute;left:0pt;margin-left:166.25pt;margin-top:13.75pt;height:0pt;width:141.75pt;z-index:251665408;mso-width-relative:page;mso-height-relative:page;" filled="f" stroked="t" coordsize="21600,21600" o:gfxdata="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&#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Lt4S4nYAAAACQEAAA8AAAAAAAAAAQAgAAAAIgAAAGRy&#10;cy9kb3ducmV2LnhtbFBLAQIUABQAAAAIAIdO4kB7ntT+BQIAANkDAAAOAAAAAAAAAAEAIAAAACcB&#10;AABkcnMvZTJvRG9jLnhtbFBLBQYAAAAABgAGAFkBAACeBQAAAAA=&#10;">
                <v:fill on="f" focussize="0,0"/>
                <v:stroke color="#000000" joinstyle="round"/>
                <v:imagedata o:title=""/>
                <o:lock v:ext="edit" aspectratio="f"/>
              </v:shape>
            </w:pict>
          </mc:Fallback>
        </mc:AlternateContent>
      </w:r>
      <w:r>
        <w:rPr>
          <w:rFonts w:hint="eastAsia"/>
          <w:lang w:eastAsia="zh-CN"/>
        </w:rPr>
        <w:tab/>
      </w:r>
    </w:p>
    <w:sectPr>
      <w:headerReference r:id="rId26" w:type="default"/>
      <w:footerReference r:id="rId28" w:type="default"/>
      <w:headerReference r:id="rId27" w:type="even"/>
      <w:footerReference r:id="rId29" w:type="even"/>
      <w:pgSz w:w="11906" w:h="16838"/>
      <w:pgMar w:top="1417" w:right="1134" w:bottom="1134" w:left="1418" w:header="1417" w:footer="1134"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F7AACFA-72B1-437C-B0CC-6CEB4056B59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DAE2E980-F4E7-41BD-BAF7-06F043A72E8C}"/>
  </w:font>
  <w:font w:name="Verdana">
    <w:panose1 w:val="020B0604030504040204"/>
    <w:charset w:val="00"/>
    <w:family w:val="swiss"/>
    <w:pitch w:val="default"/>
    <w:sig w:usb0="A00006FF" w:usb1="4000205B" w:usb2="00000010" w:usb3="00000000" w:csb0="2000019F" w:csb1="00000000"/>
  </w:font>
  <w:font w:name="方正小标宋_GBK">
    <w:panose1 w:val="03000509000000000000"/>
    <w:charset w:val="86"/>
    <w:family w:val="script"/>
    <w:pitch w:val="default"/>
    <w:sig w:usb0="00000001" w:usb1="080E0000" w:usb2="00000000" w:usb3="00000000" w:csb0="00040000" w:csb1="00000000"/>
    <w:embedRegular r:id="rId3" w:fontKey="{4839D0F0-DFF3-4A33-A2DA-BC7538B29D6C}"/>
  </w:font>
  <w:font w:name="Dotum,Bold">
    <w:altName w:val="黑体"/>
    <w:panose1 w:val="00000000000000000000"/>
    <w:charset w:val="86"/>
    <w:family w:val="auto"/>
    <w:pitch w:val="default"/>
    <w:sig w:usb0="00000000" w:usb1="00000000" w:usb2="00000010" w:usb3="00000000" w:csb0="00040000" w:csb1="00000000"/>
    <w:embedRegular r:id="rId4" w:fontKey="{03DE2827-87C4-47B0-A725-95A582B87125}"/>
  </w:font>
  <w:font w:name="SimSun,Bold">
    <w:altName w:val="黑体"/>
    <w:panose1 w:val="00000000000000000000"/>
    <w:charset w:val="86"/>
    <w:family w:val="auto"/>
    <w:pitch w:val="default"/>
    <w:sig w:usb0="00000000" w:usb1="00000000" w:usb2="00000010" w:usb3="00000000" w:csb0="00040000" w:csb1="00000000"/>
    <w:embedRegular r:id="rId5" w:fontKey="{9DC6DD52-D5B6-4F20-BDBE-877B963573B8}"/>
  </w:font>
  <w:font w:name="Wingdings 2">
    <w:panose1 w:val="05020102010507070707"/>
    <w:charset w:val="02"/>
    <w:family w:val="roman"/>
    <w:pitch w:val="default"/>
    <w:sig w:usb0="00000000" w:usb1="00000000" w:usb2="00000000" w:usb3="00000000" w:csb0="80000000" w:csb1="00000000"/>
    <w:embedRegular r:id="rId6" w:fontKey="{78C053F0-2A7B-44A8-92DB-C4077786AD4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r>
      <w:rPr>
        <w:sz w:val="18"/>
      </w:rPr>
      <mc:AlternateContent>
        <mc:Choice Requires="wps">
          <w:drawing>
            <wp:anchor distT="0" distB="0" distL="114300" distR="114300" simplePos="0" relativeHeight="25167462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3"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V</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c+bJUzAgAAYw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kzf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c+bJUzAgAAYwQAAA4AAAAAAAAAAQAgAAAAHwEAAGRycy9lMm9Eb2MueG1sUEsF&#10;BgAAAAAGAAYAWQEAAMQFAAAAAA==&#10;">
              <v:fill on="f" focussize="0,0"/>
              <v:stroke on="f" weight="0.5pt"/>
              <v:imagedata o:title=""/>
              <o:lock v:ext="edit" aspectratio="f"/>
              <v:textbox inset="0mm,0mm,0mm,0mm" style="mso-fit-shape-to-text:t;">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V</w:t>
                    </w:r>
                    <w:r>
                      <w:rPr>
                        <w:rFonts w:hint="eastAsia" w:ascii="宋体" w:hAnsi="宋体" w:eastAsia="宋体" w:cs="宋体"/>
                      </w:rP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r>
      <w:rPr>
        <w:sz w:val="18"/>
      </w:rPr>
      <mc:AlternateContent>
        <mc:Choice Requires="wps">
          <w:drawing>
            <wp:anchor distT="0" distB="0" distL="114300" distR="114300" simplePos="0" relativeHeight="251675648" behindDoc="0" locked="0" layoutInCell="1" allowOverlap="1">
              <wp:simplePos x="0" y="0"/>
              <wp:positionH relativeFrom="margin">
                <wp:align>outside</wp:align>
              </wp:positionH>
              <wp:positionV relativeFrom="paragraph">
                <wp:posOffset>0</wp:posOffset>
              </wp:positionV>
              <wp:extent cx="1828800" cy="1828800"/>
              <wp:effectExtent l="0" t="0" r="0" b="0"/>
              <wp:wrapNone/>
              <wp:docPr id="34" name="文本框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II</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ptGXYzAgAAYw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1JYZpVPz0/dvp&#10;x6/Tz68EZxCocWGGuAeHyNi+tS3aZjgPOEy828rr9AUjAj/kPV7kFW0kPF2aTqbTHC4O37ABfvZ4&#10;3fkQ3wmrSTIK6lG/TlZ22ITYhw4hKZuxa6lUV0NlSFPQ66s3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ptGXYzAgAAYwQAAA4AAAAAAAAAAQAgAAAAHwEAAGRycy9lMm9Eb2MueG1sUEsF&#10;BgAAAAAGAAYAWQEAAMQFAAAAAA==&#10;">
              <v:fill on="f" focussize="0,0"/>
              <v:stroke on="f" weight="0.5pt"/>
              <v:imagedata o:title=""/>
              <o:lock v:ext="edit" aspectratio="f"/>
              <v:textbox inset="0mm,0mm,0mm,0mm" style="mso-fit-shape-to-text:t;">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II</w:t>
                    </w:r>
                    <w:r>
                      <w:rPr>
                        <w:rFonts w:hint="eastAsia" w:ascii="宋体" w:hAnsi="宋体" w:eastAsia="宋体" w:cs="宋体"/>
                      </w:rP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0"/>
    </w:pPr>
    <w:r>
      <w:rPr>
        <w:sz w:val="18"/>
      </w:rPr>
      <mc:AlternateContent>
        <mc:Choice Requires="wps">
          <w:drawing>
            <wp:anchor distT="0" distB="0" distL="114300" distR="114300" simplePos="0" relativeHeight="25167667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7" name="文本框 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XXI</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2T0J0zAgAAYw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2T0J0zAgAAYwQAAA4AAAAAAAAAAQAgAAAAHwEAAGRycy9lMm9Eb2MueG1sUEsF&#10;BgAAAAAGAAYAWQEAAMQFAAAAAA==&#10;">
              <v:fill on="f" focussize="0,0"/>
              <v:stroke on="f" weight="0.5pt"/>
              <v:imagedata o:title=""/>
              <o:lock v:ext="edit" aspectratio="f"/>
              <v:textbox inset="0mm,0mm,0mm,0mm" style="mso-fit-shape-to-text:t;">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XXI</w:t>
                    </w:r>
                    <w:r>
                      <w:rPr>
                        <w:rFonts w:hint="eastAsia" w:ascii="宋体" w:hAnsi="宋体" w:eastAsia="宋体" w:cs="宋体"/>
                      </w:rP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1"/>
    </w:pPr>
    <w:r>
      <w:rPr>
        <w:sz w:val="18"/>
      </w:rPr>
      <mc:AlternateContent>
        <mc:Choice Requires="wps">
          <w:drawing>
            <wp:anchor distT="0" distB="0" distL="114300" distR="114300" simplePos="0" relativeHeight="251677696" behindDoc="0" locked="0" layoutInCell="1" allowOverlap="1">
              <wp:simplePos x="0" y="0"/>
              <wp:positionH relativeFrom="margin">
                <wp:align>outside</wp:align>
              </wp:positionH>
              <wp:positionV relativeFrom="paragraph">
                <wp:posOffset>0</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XXII</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Sb3G8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Sb3G8zAgAAYwQAAA4AAAAAAAAAAQAgAAAAHwEAAGRycy9lMm9Eb2MueG1sUEsF&#10;BgAAAAAGAAYAWQEAAMQFAAAAAA==&#10;">
              <v:fill on="f" focussize="0,0"/>
              <v:stroke on="f" weight="0.5pt"/>
              <v:imagedata o:title=""/>
              <o:lock v:ext="edit" aspectratio="f"/>
              <v:textbox inset="0mm,0mm,0mm,0mm" style="mso-fit-shape-to-text:t;">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XXII</w:t>
                    </w:r>
                    <w:r>
                      <w:rPr>
                        <w:rFonts w:hint="eastAsia" w:ascii="宋体" w:hAnsi="宋体" w:eastAsia="宋体" w:cs="宋体"/>
                      </w:rP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r>
      <w:rPr>
        <w:sz w:val="18"/>
      </w:rPr>
      <mc:AlternateContent>
        <mc:Choice Requires="wps">
          <w:drawing>
            <wp:anchor distT="0" distB="0" distL="114300" distR="114300" simplePos="0" relativeHeight="251678720" behindDoc="0" locked="0" layoutInCell="1" allowOverlap="1">
              <wp:simplePos x="0" y="0"/>
              <wp:positionH relativeFrom="margin">
                <wp:align>outside</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XXIII</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YzS4AzAgAAYw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YzS4AzAgAAYwQAAA4AAAAAAAAAAQAgAAAAHwEAAGRycy9lMm9Eb2MueG1sUEsF&#10;BgAAAAAGAAYAWQEAAMQFAAAAAA==&#10;">
              <v:fill on="f" focussize="0,0"/>
              <v:stroke on="f" weight="0.5pt"/>
              <v:imagedata o:title=""/>
              <o:lock v:ext="edit" aspectratio="f"/>
              <v:textbox inset="0mm,0mm,0mm,0mm" style="mso-fit-shape-to-text:t;">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XXIII</w:t>
                    </w:r>
                    <w:r>
                      <w:rPr>
                        <w:rFonts w:hint="eastAsia" w:ascii="宋体" w:hAnsi="宋体" w:eastAsia="宋体" w:cs="宋体"/>
                      </w:rP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r>
      <w:rPr>
        <w:sz w:val="18"/>
      </w:rPr>
      <mc:AlternateContent>
        <mc:Choice Requires="wps">
          <w:drawing>
            <wp:anchor distT="0" distB="0" distL="114300" distR="114300" simplePos="0" relativeHeight="25167974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0" name="文本框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7J9wA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0kMUyj4qcf308/&#10;H06/vhGcQaDGhRni7h0iY/vOtmib4TzgMPFuK6/TF4wI/MA6XuQVbSQ8XZpOptMcLg7fsAF+9njd&#10;+RDfC6tJMgrqUb9OVnbYhNiHDiEpm7FrqVRXQ2VIU9Cr12/z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7J9wAzAgAAYwQAAA4AAAAAAAAAAQAgAAAAHwEAAGRycy9lMm9Eb2MueG1sUEsF&#10;BgAAAAAGAAYAWQEAAMQFA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r>
      <w:rPr>
        <w:sz w:val="18"/>
      </w:rPr>
      <mc:AlternateContent>
        <mc:Choice Requires="wps">
          <w:drawing>
            <wp:anchor distT="0" distB="0" distL="114300" distR="114300" simplePos="0" relativeHeight="25167155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ApX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MClfjICAABjBAAADgAAAAAAAAABACAAAAAfAQAAZHJzL2Uyb0RvYy54bWxQSwUG&#10;AAAAAAYABgBZAQAAwwUAAAAA&#10;">
              <v:fill on="f" focussize="0,0"/>
              <v:stroke on="f" weight="0.5pt"/>
              <v:imagedata o:title=""/>
              <o:lock v:ext="edit" aspectratio="f"/>
              <v:textbox inset="0mm,0mm,0mm,0mm" style="mso-fit-shape-to-text:t;">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r>
      <w:rPr>
        <w:sz w:val="18"/>
      </w:rPr>
      <mc:AlternateContent>
        <mc:Choice Requires="wps">
          <w:drawing>
            <wp:anchor distT="0" distB="0" distL="114300" distR="114300" simplePos="0" relativeHeight="251672576" behindDoc="0" locked="0" layoutInCell="1" allowOverlap="1">
              <wp:simplePos x="0" y="0"/>
              <wp:positionH relativeFrom="margin">
                <wp:align>outside</wp:align>
              </wp:positionH>
              <wp:positionV relativeFrom="paragraph">
                <wp:posOffset>0</wp:posOffset>
              </wp:positionV>
              <wp:extent cx="1828800" cy="182880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JoMpEzAgAAYwQAAA4AAAAAAAAAAQAgAAAAHwEAAGRycy9lMm9Eb2MueG1sUEsF&#10;BgAAAAAGAAYAWQEAAMQFA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r>
      <w:rPr>
        <w:sz w:val="18"/>
      </w:rPr>
      <mc:AlternateContent>
        <mc:Choice Requires="wps">
          <w:drawing>
            <wp:anchor distT="0" distB="0" distL="114300" distR="114300" simplePos="0" relativeHeight="25166950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As4f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Czh9zICAABjBAAADgAAAAAAAAABACAAAAAfAQAAZHJzL2Uyb0RvYy54bWxQSwUG&#10;AAAAAAYABgBZAQAAwwU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hint="eastAsia" w:ascii="宋体" w:hAnsi="宋体" w:eastAsia="宋体" w:cs="宋体"/>
      </w:rPr>
    </w:pPr>
    <w:r>
      <w:rPr>
        <w:rFonts w:hint="eastAsia" w:ascii="宋体" w:hAnsi="宋体" w:eastAsia="宋体" w:cs="宋体"/>
        <w:sz w:val="18"/>
      </w:rPr>
      <mc:AlternateContent>
        <mc:Choice Requires="wps">
          <w:drawing>
            <wp:anchor distT="0" distB="0" distL="114300" distR="114300" simplePos="0" relativeHeight="25167052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II</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pPr>
                      <w:pStyle w:val="13"/>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II</w:t>
                    </w:r>
                    <w:r>
                      <w:rPr>
                        <w:rFonts w:hint="eastAsia" w:ascii="宋体" w:hAnsi="宋体" w:eastAsia="宋体" w:cs="宋体"/>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r>
      <w:rPr>
        <w:sz w:val="18"/>
      </w:rPr>
      <mc:AlternateContent>
        <mc:Choice Requires="wps">
          <w:drawing>
            <wp:anchor distT="0" distB="0" distL="114300" distR="114300" simplePos="0" relativeHeight="251673600" behindDoc="0" locked="0" layoutInCell="1" allowOverlap="1">
              <wp:simplePos x="0" y="0"/>
              <wp:positionH relativeFrom="margin">
                <wp:align>outside</wp:align>
              </wp:positionH>
              <wp:positionV relativeFrom="paragraph">
                <wp:posOffset>0</wp:posOffset>
              </wp:positionV>
              <wp:extent cx="1828800" cy="1828800"/>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WW+3o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dT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WW+3ozAgAAYwQAAA4AAAAAAAAAAQAgAAAAHwEAAGRycy9lMm9Eb2MueG1sUEsF&#10;BgAAAAAGAAYAWQEAAMQFAAAAAA==&#10;">
              <v:fill on="f" focussize="0,0"/>
              <v:stroke on="f" weight="0.5pt"/>
              <v:imagedata o:title=""/>
              <o:lock v:ext="edit" aspectratio="f"/>
              <v:textbox inset="0mm,0mm,0mm,0mm" style="mso-fit-shape-to-text:t;">
                <w:txbxContent>
                  <w:p>
                    <w:pPr>
                      <w:pStyle w:val="13"/>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asciiTheme="minorEastAsia" w:hAnsiTheme="minorEastAsia"/>
      </w:rPr>
    </w:pPr>
    <w:r>
      <w:rPr>
        <w:sz w:val="18"/>
      </w:rP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k7QU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kk7QUzAgAAYwQAAA4AAAAAAAAAAQAgAAAAHwEAAGRycy9lMm9Eb2MueG1sUEsF&#10;BgAAAAAGAAYAWQEAAMQFA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Theme="minorEastAsia" w:hAnsiTheme="minor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1"/>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8"/>
      <w:keepNext w:val="0"/>
      <w:keepLines w:val="0"/>
      <w:pageBreakBefore w:val="0"/>
      <w:widowControl/>
      <w:kinsoku/>
      <w:wordWrap/>
      <w:overflowPunct/>
      <w:topLinePunct w:val="0"/>
      <w:bidi w:val="0"/>
      <w:adjustRightInd/>
      <w:snapToGrid/>
      <w:spacing w:after="283"/>
      <w:textAlignment w:val="auto"/>
      <w:rPr>
        <w:rFonts w:hint="eastAsia"/>
        <w:lang w:eastAsia="zh-CN"/>
      </w:rPr>
    </w:pPr>
    <w:r>
      <w:rPr>
        <w:rFonts w:hint="eastAsia"/>
      </w:rPr>
      <w:t>DB3205/T XXX—2024</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kinsoku/>
      <w:wordWrap/>
      <w:overflowPunct/>
      <w:topLinePunct w:val="0"/>
      <w:autoSpaceDE/>
      <w:autoSpaceDN/>
      <w:bidi w:val="0"/>
      <w:adjustRightInd w:val="0"/>
      <w:snapToGrid w:val="0"/>
      <w:spacing w:after="283"/>
      <w:textAlignment w:val="auto"/>
      <w:rPr>
        <w:rFonts w:hint="default" w:ascii="黑体" w:hAnsi="黑体" w:eastAsia="黑体"/>
        <w:lang w:val="en-US"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84"/>
      <w:jc w:val="right"/>
      <w:rPr>
        <w:rStyle w:val="34"/>
        <w:rFonts w:hint="default" w:ascii="黑体" w:hAnsi="黑体" w:eastAsia="黑体"/>
        <w:i w:val="0"/>
        <w:color w:val="808080" w:themeColor="text1" w:themeTint="80"/>
        <w:lang w:val="en-US" w:eastAsia="zh-CN"/>
        <w14:textFill>
          <w14:solidFill>
            <w14:schemeClr w14:val="tx1">
              <w14:lumMod w14:val="50000"/>
              <w14:lumOff w14:val="50000"/>
            </w14:schemeClr>
          </w14:solidFill>
        </w14:textFill>
      </w:rPr>
    </w:pPr>
    <w:r>
      <w:rPr>
        <w:rFonts w:hint="eastAsia" w:ascii="黑体" w:hAnsi="黑体" w:eastAsia="黑体"/>
      </w:rPr>
      <w:t>DB32</w:t>
    </w:r>
    <w:r>
      <w:rPr>
        <w:rFonts w:ascii="黑体" w:hAnsi="黑体" w:eastAsia="黑体"/>
      </w:rPr>
      <w:t>05</w:t>
    </w:r>
    <w:r>
      <w:rPr>
        <w:rFonts w:hint="eastAsia" w:ascii="黑体" w:hAnsi="黑体" w:eastAsia="黑体"/>
      </w:rPr>
      <w:t>/T XXX—20</w:t>
    </w:r>
    <w:r>
      <w:rPr>
        <w:rFonts w:hint="eastAsia" w:ascii="黑体" w:hAnsi="黑体" w:eastAsia="黑体"/>
        <w:lang w:val="en-US" w:eastAsia="zh-CN"/>
      </w:rPr>
      <w:t>24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84"/>
      <w:jc w:val="both"/>
      <w:rPr>
        <w:rFonts w:hint="eastAsia"/>
        <w:lang w:eastAsia="zh-CN"/>
      </w:rPr>
    </w:pPr>
    <w:r>
      <w:rPr>
        <w:rFonts w:hint="eastAsia" w:ascii="黑体" w:hAnsi="黑体" w:eastAsia="黑体"/>
        <w:lang w:eastAsia="zh-CN"/>
      </w:rPr>
      <w:t>DB3205/T XXX—2024</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84"/>
      <w:jc w:val="right"/>
      <w:rPr>
        <w:rFonts w:hint="eastAsia" w:ascii="黑体" w:hAnsi="黑体" w:eastAsia="黑体"/>
        <w:lang w:eastAsia="zh-CN"/>
      </w:rPr>
    </w:pPr>
    <w:r>
      <w:ptab w:relativeTo="margin" w:alignment="left" w:leader="none"/>
    </w:r>
    <w:r>
      <w:rPr>
        <w:rFonts w:hint="eastAsia" w:ascii="黑体" w:hAnsi="黑体" w:eastAsia="黑体"/>
      </w:rPr>
      <w:t>DB32</w:t>
    </w:r>
    <w:r>
      <w:rPr>
        <w:rFonts w:ascii="黑体" w:hAnsi="黑体" w:eastAsia="黑体"/>
      </w:rPr>
      <w:t>05</w:t>
    </w:r>
    <w:r>
      <w:rPr>
        <w:rFonts w:hint="eastAsia" w:ascii="黑体" w:hAnsi="黑体" w:eastAsia="黑体"/>
      </w:rPr>
      <w:t>/T XXX—20</w:t>
    </w:r>
    <w:r>
      <w:rPr>
        <w:rFonts w:ascii="黑体" w:hAnsi="黑体" w:eastAsia="黑体"/>
      </w:rPr>
      <w:t>2</w:t>
    </w:r>
    <w:r>
      <w:rPr>
        <w:rFonts w:hint="eastAsia" w:ascii="黑体" w:hAnsi="黑体" w:eastAsia="黑体"/>
        <w:lang w:val="en-US" w:eastAsia="zh-CN"/>
      </w:rPr>
      <w:t>4</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284"/>
      <w:jc w:val="right"/>
      <w:rPr>
        <w:rFonts w:hint="eastAsia" w:ascii="黑体" w:hAnsi="黑体" w:eastAsia="黑体"/>
        <w:lang w:eastAsia="zh-CN"/>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keepNext w:val="0"/>
      <w:keepLines w:val="0"/>
      <w:pageBreakBefore w:val="0"/>
      <w:widowControl w:val="0"/>
      <w:kinsoku/>
      <w:wordWrap/>
      <w:overflowPunct/>
      <w:topLinePunct w:val="0"/>
      <w:autoSpaceDE/>
      <w:autoSpaceDN/>
      <w:bidi w:val="0"/>
      <w:adjustRightInd w:val="0"/>
      <w:snapToGrid w:val="0"/>
      <w:spacing w:after="283"/>
      <w:textAlignment w:val="auto"/>
      <w:rPr>
        <w:rStyle w:val="34"/>
        <w:rFonts w:hint="eastAsia" w:ascii="黑体" w:hAnsi="黑体" w:eastAsia="黑体"/>
        <w:i w:val="0"/>
        <w:color w:val="808080" w:themeColor="text1" w:themeTint="80"/>
        <w:lang w:eastAsia="zh-CN"/>
        <w14:textFill>
          <w14:solidFill>
            <w14:schemeClr w14:val="tx1">
              <w14:lumMod w14:val="50000"/>
              <w14:lumOff w14:val="50000"/>
            </w14:schemeClr>
          </w14:solidFill>
        </w14:textFill>
      </w:rPr>
    </w:pPr>
    <w:r>
      <w:ptab w:relativeTo="margin" w:alignment="right" w:leader="none"/>
    </w:r>
    <w:r>
      <w:rPr>
        <w:rFonts w:hint="eastAsia" w:ascii="黑体" w:hAnsi="黑体" w:eastAsia="黑体"/>
      </w:rPr>
      <w:t>DB32</w:t>
    </w:r>
    <w:r>
      <w:rPr>
        <w:rFonts w:ascii="黑体" w:hAnsi="黑体" w:eastAsia="黑体"/>
      </w:rPr>
      <w:t>05</w:t>
    </w:r>
    <w:r>
      <w:rPr>
        <w:rFonts w:hint="eastAsia" w:ascii="黑体" w:hAnsi="黑体" w:eastAsia="黑体"/>
      </w:rPr>
      <w:t>/T XXX—20</w:t>
    </w:r>
    <w:r>
      <w:rPr>
        <w:rFonts w:ascii="黑体" w:hAnsi="黑体" w:eastAsia="黑体"/>
      </w:rPr>
      <w:t>2</w:t>
    </w:r>
    <w:r>
      <w:rPr>
        <w:rFonts w:hint="eastAsia" w:ascii="黑体" w:hAnsi="黑体" w:eastAsia="黑体"/>
        <w:lang w:val="en-US" w:eastAsia="zh-CN"/>
      </w:rPr>
      <w:t>4</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kinsoku/>
      <w:wordWrap/>
      <w:overflowPunct/>
      <w:topLinePunct w:val="0"/>
      <w:autoSpaceDE/>
      <w:autoSpaceDN/>
      <w:bidi w:val="0"/>
      <w:adjustRightInd w:val="0"/>
      <w:snapToGrid w:val="0"/>
      <w:spacing w:after="283"/>
      <w:textAlignment w:val="auto"/>
      <w:rPr>
        <w:rFonts w:hint="default" w:ascii="黑体" w:hAnsi="黑体" w:eastAsia="黑体"/>
        <w:lang w:val="en-US" w:eastAsia="zh-CN"/>
      </w:rPr>
    </w:pPr>
    <w:r>
      <w:ptab w:relativeTo="margin" w:alignment="left" w:leader="none"/>
    </w:r>
    <w:r>
      <w:rPr>
        <w:rFonts w:hint="eastAsia" w:ascii="黑体" w:hAnsi="黑体" w:eastAsia="黑体"/>
      </w:rPr>
      <w:t>DB32</w:t>
    </w:r>
    <w:r>
      <w:rPr>
        <w:rFonts w:ascii="黑体" w:hAnsi="黑体" w:eastAsia="黑体"/>
      </w:rPr>
      <w:t>05</w:t>
    </w:r>
    <w:r>
      <w:rPr>
        <w:rFonts w:hint="eastAsia" w:ascii="黑体" w:hAnsi="黑体" w:eastAsia="黑体"/>
      </w:rPr>
      <w:t>/T XXX—2</w:t>
    </w:r>
    <w:r>
      <w:rPr>
        <w:rFonts w:hint="eastAsia" w:ascii="黑体" w:hAnsi="黑体" w:eastAsia="黑体"/>
        <w:lang w:val="en-US" w:eastAsia="zh-CN"/>
      </w:rPr>
      <w:t>024</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8"/>
      <w:keepNext w:val="0"/>
      <w:keepLines w:val="0"/>
      <w:pageBreakBefore w:val="0"/>
      <w:widowControl/>
      <w:kinsoku/>
      <w:wordWrap/>
      <w:overflowPunct/>
      <w:topLinePunct w:val="0"/>
      <w:bidi w:val="0"/>
      <w:adjustRightInd/>
      <w:snapToGrid/>
      <w:spacing w:after="283"/>
      <w:textAlignment w:val="auto"/>
    </w:pPr>
    <w:r>
      <w:rPr>
        <w:rFonts w:hint="eastAsia"/>
      </w:rPr>
      <w:t>DB3205/T XXX—2024</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9"/>
      <w:keepNext w:val="0"/>
      <w:keepLines w:val="0"/>
      <w:pageBreakBefore w:val="0"/>
      <w:widowControl/>
      <w:kinsoku/>
      <w:wordWrap/>
      <w:overflowPunct/>
      <w:topLinePunct w:val="0"/>
      <w:bidi w:val="0"/>
      <w:adjustRightInd/>
      <w:snapToGrid/>
      <w:spacing w:after="283"/>
      <w:textAlignment w:val="auto"/>
    </w:pPr>
    <w:r>
      <w:rPr>
        <w:rFonts w:hint="eastAsia" w:ascii="黑体" w:hAnsi="黑体" w:eastAsia="黑体"/>
      </w:rPr>
      <w:t>DB32</w:t>
    </w:r>
    <w:r>
      <w:rPr>
        <w:rFonts w:ascii="黑体" w:hAnsi="黑体" w:eastAsia="黑体"/>
      </w:rPr>
      <w:t>05</w:t>
    </w:r>
    <w:r>
      <w:rPr>
        <w:rFonts w:hint="eastAsia" w:ascii="黑体" w:hAnsi="黑体" w:eastAsia="黑体"/>
      </w:rPr>
      <w:t>/T XXX—20</w:t>
    </w:r>
    <w:r>
      <w:rPr>
        <w:rFonts w:ascii="黑体" w:hAnsi="黑体" w:eastAsia="黑体"/>
      </w:rPr>
      <w:t>2</w:t>
    </w:r>
    <w:r>
      <w:rPr>
        <w:rFonts w:hint="eastAsia" w:ascii="黑体" w:hAnsi="黑体" w:eastAsia="黑体"/>
        <w:lang w:val="en-US" w:eastAsia="zh-CN"/>
      </w:rPr>
      <w:t>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44B9F7"/>
    <w:multiLevelType w:val="singleLevel"/>
    <w:tmpl w:val="8344B9F7"/>
    <w:lvl w:ilvl="0" w:tentative="0">
      <w:start w:val="1"/>
      <w:numFmt w:val="lowerLetter"/>
      <w:suff w:val="space"/>
      <w:lvlText w:val="%1）"/>
      <w:lvlJc w:val="left"/>
      <w:rPr>
        <w:rFonts w:hint="default" w:ascii="宋体" w:hAnsi="宋体" w:eastAsia="宋体" w:cs="宋体"/>
        <w:sz w:val="21"/>
        <w:szCs w:val="21"/>
      </w:rPr>
    </w:lvl>
  </w:abstractNum>
  <w:abstractNum w:abstractNumId="1">
    <w:nsid w:val="85E6C8C7"/>
    <w:multiLevelType w:val="singleLevel"/>
    <w:tmpl w:val="85E6C8C7"/>
    <w:lvl w:ilvl="0" w:tentative="0">
      <w:start w:val="1"/>
      <w:numFmt w:val="lowerLetter"/>
      <w:suff w:val="space"/>
      <w:lvlText w:val="%1）"/>
      <w:lvlJc w:val="left"/>
      <w:rPr>
        <w:rFonts w:hint="default" w:ascii="宋体" w:hAnsi="宋体" w:eastAsia="宋体" w:cs="宋体"/>
        <w:sz w:val="21"/>
        <w:szCs w:val="21"/>
      </w:rPr>
    </w:lvl>
  </w:abstractNum>
  <w:abstractNum w:abstractNumId="2">
    <w:nsid w:val="89DB071B"/>
    <w:multiLevelType w:val="singleLevel"/>
    <w:tmpl w:val="89DB071B"/>
    <w:lvl w:ilvl="0" w:tentative="0">
      <w:start w:val="1"/>
      <w:numFmt w:val="lowerLetter"/>
      <w:suff w:val="space"/>
      <w:lvlText w:val="%1）"/>
      <w:lvlJc w:val="left"/>
      <w:rPr>
        <w:rFonts w:hint="default" w:ascii="宋体" w:hAnsi="宋体" w:eastAsia="宋体" w:cs="宋体"/>
        <w:sz w:val="21"/>
        <w:szCs w:val="21"/>
      </w:rPr>
    </w:lvl>
  </w:abstractNum>
  <w:abstractNum w:abstractNumId="3">
    <w:nsid w:val="8F6EEF4B"/>
    <w:multiLevelType w:val="singleLevel"/>
    <w:tmpl w:val="8F6EEF4B"/>
    <w:lvl w:ilvl="0" w:tentative="0">
      <w:start w:val="1"/>
      <w:numFmt w:val="lowerLetter"/>
      <w:suff w:val="space"/>
      <w:lvlText w:val="%1）"/>
      <w:lvlJc w:val="left"/>
      <w:rPr>
        <w:rFonts w:hint="default" w:ascii="宋体" w:hAnsi="宋体" w:eastAsia="宋体" w:cs="宋体"/>
        <w:sz w:val="21"/>
        <w:szCs w:val="21"/>
      </w:rPr>
    </w:lvl>
  </w:abstractNum>
  <w:abstractNum w:abstractNumId="4">
    <w:nsid w:val="988F1A22"/>
    <w:multiLevelType w:val="singleLevel"/>
    <w:tmpl w:val="988F1A22"/>
    <w:lvl w:ilvl="0" w:tentative="0">
      <w:start w:val="1"/>
      <w:numFmt w:val="decimal"/>
      <w:suff w:val="nothing"/>
      <w:lvlText w:val="%1）"/>
      <w:lvlJc w:val="left"/>
      <w:rPr>
        <w:rFonts w:hint="default" w:ascii="宋体" w:hAnsi="宋体" w:eastAsia="宋体" w:cs="宋体"/>
        <w:sz w:val="21"/>
        <w:szCs w:val="21"/>
      </w:rPr>
    </w:lvl>
  </w:abstractNum>
  <w:abstractNum w:abstractNumId="5">
    <w:nsid w:val="A28A34A7"/>
    <w:multiLevelType w:val="singleLevel"/>
    <w:tmpl w:val="A28A34A7"/>
    <w:lvl w:ilvl="0" w:tentative="0">
      <w:start w:val="1"/>
      <w:numFmt w:val="lowerLetter"/>
      <w:suff w:val="space"/>
      <w:lvlText w:val="%1）"/>
      <w:lvlJc w:val="left"/>
      <w:rPr>
        <w:rFonts w:hint="default" w:ascii="宋体" w:hAnsi="宋体" w:eastAsia="宋体" w:cs="宋体"/>
        <w:sz w:val="21"/>
        <w:szCs w:val="21"/>
      </w:rPr>
    </w:lvl>
  </w:abstractNum>
  <w:abstractNum w:abstractNumId="6">
    <w:nsid w:val="AD37125E"/>
    <w:multiLevelType w:val="singleLevel"/>
    <w:tmpl w:val="AD37125E"/>
    <w:lvl w:ilvl="0" w:tentative="0">
      <w:start w:val="1"/>
      <w:numFmt w:val="decimal"/>
      <w:suff w:val="nothing"/>
      <w:lvlText w:val="%1）"/>
      <w:lvlJc w:val="left"/>
      <w:rPr>
        <w:rFonts w:hint="default" w:ascii="宋体" w:hAnsi="宋体" w:eastAsia="宋体" w:cs="宋体"/>
        <w:sz w:val="21"/>
        <w:szCs w:val="21"/>
      </w:rPr>
    </w:lvl>
  </w:abstractNum>
  <w:abstractNum w:abstractNumId="7">
    <w:nsid w:val="AE314BCC"/>
    <w:multiLevelType w:val="singleLevel"/>
    <w:tmpl w:val="AE314BCC"/>
    <w:lvl w:ilvl="0" w:tentative="0">
      <w:start w:val="1"/>
      <w:numFmt w:val="lowerLetter"/>
      <w:suff w:val="space"/>
      <w:lvlText w:val="%1）"/>
      <w:lvlJc w:val="left"/>
      <w:rPr>
        <w:rFonts w:hint="default" w:ascii="宋体" w:hAnsi="宋体" w:eastAsia="宋体" w:cs="宋体"/>
        <w:sz w:val="21"/>
        <w:szCs w:val="21"/>
      </w:rPr>
    </w:lvl>
  </w:abstractNum>
  <w:abstractNum w:abstractNumId="8">
    <w:nsid w:val="AE3E15B5"/>
    <w:multiLevelType w:val="singleLevel"/>
    <w:tmpl w:val="AE3E15B5"/>
    <w:lvl w:ilvl="0" w:tentative="0">
      <w:start w:val="1"/>
      <w:numFmt w:val="decimal"/>
      <w:suff w:val="nothing"/>
      <w:lvlText w:val="%1）"/>
      <w:lvlJc w:val="left"/>
      <w:rPr>
        <w:rFonts w:hint="default" w:ascii="宋体" w:hAnsi="宋体" w:eastAsia="宋体" w:cs="宋体"/>
        <w:sz w:val="21"/>
        <w:szCs w:val="21"/>
      </w:rPr>
    </w:lvl>
  </w:abstractNum>
  <w:abstractNum w:abstractNumId="9">
    <w:nsid w:val="B7B91D79"/>
    <w:multiLevelType w:val="singleLevel"/>
    <w:tmpl w:val="B7B91D79"/>
    <w:lvl w:ilvl="0" w:tentative="0">
      <w:start w:val="1"/>
      <w:numFmt w:val="decimal"/>
      <w:suff w:val="nothing"/>
      <w:lvlText w:val="%1）"/>
      <w:lvlJc w:val="left"/>
      <w:rPr>
        <w:rFonts w:hint="default" w:ascii="宋体" w:hAnsi="宋体" w:eastAsia="宋体" w:cs="宋体"/>
        <w:sz w:val="21"/>
        <w:szCs w:val="21"/>
      </w:rPr>
    </w:lvl>
  </w:abstractNum>
  <w:abstractNum w:abstractNumId="10">
    <w:nsid w:val="BCF6F458"/>
    <w:multiLevelType w:val="singleLevel"/>
    <w:tmpl w:val="BCF6F458"/>
    <w:lvl w:ilvl="0" w:tentative="0">
      <w:start w:val="1"/>
      <w:numFmt w:val="decimal"/>
      <w:suff w:val="nothing"/>
      <w:lvlText w:val="%1）"/>
      <w:lvlJc w:val="left"/>
      <w:rPr>
        <w:rFonts w:hint="default" w:ascii="宋体" w:hAnsi="宋体" w:eastAsia="宋体" w:cs="宋体"/>
        <w:sz w:val="21"/>
        <w:szCs w:val="21"/>
      </w:rPr>
    </w:lvl>
  </w:abstractNum>
  <w:abstractNum w:abstractNumId="11">
    <w:nsid w:val="BEB7A4B2"/>
    <w:multiLevelType w:val="singleLevel"/>
    <w:tmpl w:val="BEB7A4B2"/>
    <w:lvl w:ilvl="0" w:tentative="0">
      <w:start w:val="1"/>
      <w:numFmt w:val="lowerLetter"/>
      <w:suff w:val="space"/>
      <w:lvlText w:val="%1）"/>
      <w:lvlJc w:val="left"/>
      <w:rPr>
        <w:rFonts w:hint="default" w:ascii="宋体" w:hAnsi="宋体" w:eastAsia="宋体" w:cs="宋体"/>
        <w:sz w:val="21"/>
        <w:szCs w:val="21"/>
      </w:rPr>
    </w:lvl>
  </w:abstractNum>
  <w:abstractNum w:abstractNumId="12">
    <w:nsid w:val="C682A25A"/>
    <w:multiLevelType w:val="singleLevel"/>
    <w:tmpl w:val="C682A25A"/>
    <w:lvl w:ilvl="0" w:tentative="0">
      <w:start w:val="1"/>
      <w:numFmt w:val="lowerLetter"/>
      <w:suff w:val="space"/>
      <w:lvlText w:val="%1）"/>
      <w:lvlJc w:val="left"/>
      <w:rPr>
        <w:rFonts w:hint="default" w:ascii="宋体" w:hAnsi="宋体" w:eastAsia="宋体" w:cs="宋体"/>
        <w:sz w:val="21"/>
        <w:szCs w:val="21"/>
      </w:rPr>
    </w:lvl>
  </w:abstractNum>
  <w:abstractNum w:abstractNumId="13">
    <w:nsid w:val="CE487D9A"/>
    <w:multiLevelType w:val="singleLevel"/>
    <w:tmpl w:val="CE487D9A"/>
    <w:lvl w:ilvl="0" w:tentative="0">
      <w:start w:val="1"/>
      <w:numFmt w:val="lowerLetter"/>
      <w:suff w:val="space"/>
      <w:lvlText w:val="%1）"/>
      <w:lvlJc w:val="left"/>
      <w:rPr>
        <w:rFonts w:hint="default" w:ascii="宋体" w:hAnsi="宋体" w:eastAsia="宋体" w:cs="宋体"/>
        <w:sz w:val="21"/>
        <w:szCs w:val="21"/>
      </w:rPr>
    </w:lvl>
  </w:abstractNum>
  <w:abstractNum w:abstractNumId="14">
    <w:nsid w:val="DA642A9A"/>
    <w:multiLevelType w:val="singleLevel"/>
    <w:tmpl w:val="DA642A9A"/>
    <w:lvl w:ilvl="0" w:tentative="0">
      <w:start w:val="1"/>
      <w:numFmt w:val="lowerLetter"/>
      <w:suff w:val="space"/>
      <w:lvlText w:val="%1）"/>
      <w:lvlJc w:val="left"/>
      <w:rPr>
        <w:rFonts w:hint="default" w:ascii="宋体" w:hAnsi="宋体" w:eastAsia="宋体" w:cs="宋体"/>
        <w:sz w:val="21"/>
        <w:szCs w:val="21"/>
      </w:rPr>
    </w:lvl>
  </w:abstractNum>
  <w:abstractNum w:abstractNumId="15">
    <w:nsid w:val="DF6145FF"/>
    <w:multiLevelType w:val="singleLevel"/>
    <w:tmpl w:val="DF6145FF"/>
    <w:lvl w:ilvl="0" w:tentative="0">
      <w:start w:val="1"/>
      <w:numFmt w:val="lowerLetter"/>
      <w:suff w:val="space"/>
      <w:lvlText w:val="%1）"/>
      <w:lvlJc w:val="left"/>
      <w:rPr>
        <w:rFonts w:hint="default" w:ascii="宋体" w:hAnsi="宋体" w:eastAsia="宋体" w:cs="宋体"/>
        <w:sz w:val="21"/>
        <w:szCs w:val="21"/>
      </w:rPr>
    </w:lvl>
  </w:abstractNum>
  <w:abstractNum w:abstractNumId="16">
    <w:nsid w:val="F3B43598"/>
    <w:multiLevelType w:val="singleLevel"/>
    <w:tmpl w:val="F3B43598"/>
    <w:lvl w:ilvl="0" w:tentative="0">
      <w:start w:val="1"/>
      <w:numFmt w:val="lowerLetter"/>
      <w:suff w:val="space"/>
      <w:lvlText w:val="%1）"/>
      <w:lvlJc w:val="left"/>
      <w:rPr>
        <w:rFonts w:hint="default" w:ascii="宋体" w:hAnsi="宋体" w:eastAsia="宋体" w:cs="宋体"/>
        <w:sz w:val="21"/>
        <w:szCs w:val="21"/>
      </w:rPr>
    </w:lvl>
  </w:abstractNum>
  <w:abstractNum w:abstractNumId="17">
    <w:nsid w:val="079102AD"/>
    <w:multiLevelType w:val="multilevel"/>
    <w:tmpl w:val="079102AD"/>
    <w:lvl w:ilvl="0" w:tentative="0">
      <w:start w:val="1"/>
      <w:numFmt w:val="decimal"/>
      <w:pStyle w:val="77"/>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8">
    <w:nsid w:val="07ED3FEA"/>
    <w:multiLevelType w:val="multilevel"/>
    <w:tmpl w:val="07ED3FEA"/>
    <w:lvl w:ilvl="0" w:tentative="0">
      <w:start w:val="1"/>
      <w:numFmt w:val="none"/>
      <w:pStyle w:val="49"/>
      <w:lvlText w:val="%1"/>
      <w:lvlJc w:val="left"/>
      <w:pPr>
        <w:ind w:left="425" w:hanging="425"/>
      </w:pPr>
      <w:rPr>
        <w:rFonts w:hint="eastAsia"/>
      </w:rPr>
    </w:lvl>
    <w:lvl w:ilvl="1" w:tentative="0">
      <w:start w:val="1"/>
      <w:numFmt w:val="decimal"/>
      <w:suff w:val="nothing"/>
      <w:lvlText w:val="%10.%2 "/>
      <w:lvlJc w:val="left"/>
      <w:pPr>
        <w:ind w:left="0" w:firstLine="0"/>
      </w:pPr>
      <w:rPr>
        <w:rFonts w:hint="eastAsia" w:ascii="黑体" w:eastAsia="黑体" w:hAnsiTheme="minorHAnsi"/>
        <w:b w:val="0"/>
        <w:i w:val="0"/>
        <w:sz w:val="21"/>
      </w:rPr>
    </w:lvl>
    <w:lvl w:ilvl="2" w:tentative="0">
      <w:start w:val="1"/>
      <w:numFmt w:val="decimal"/>
      <w:suff w:val="nothing"/>
      <w:lvlText w:val="%10.%2.%3 "/>
      <w:lvlJc w:val="left"/>
      <w:pPr>
        <w:ind w:left="0" w:firstLine="0"/>
      </w:pPr>
      <w:rPr>
        <w:rFonts w:hint="eastAsia" w:ascii="黑体" w:eastAsia="黑体" w:hAnsiTheme="minorHAnsi"/>
        <w:b w:val="0"/>
        <w:i w:val="0"/>
        <w:sz w:val="21"/>
      </w:rPr>
    </w:lvl>
    <w:lvl w:ilvl="3" w:tentative="0">
      <w:start w:val="1"/>
      <w:numFmt w:val="decimal"/>
      <w:suff w:val="nothing"/>
      <w:lvlText w:val="%10.%2.%3.%4 "/>
      <w:lvlJc w:val="left"/>
      <w:pPr>
        <w:ind w:left="0" w:firstLine="0"/>
      </w:pPr>
      <w:rPr>
        <w:rFonts w:hint="eastAsia" w:ascii="黑体" w:eastAsia="黑体" w:hAnsiTheme="minorHAnsi"/>
        <w:b w:val="0"/>
        <w:i w:val="0"/>
        <w:sz w:val="21"/>
      </w:rPr>
    </w:lvl>
    <w:lvl w:ilvl="4" w:tentative="0">
      <w:start w:val="1"/>
      <w:numFmt w:val="decimal"/>
      <w:suff w:val="nothing"/>
      <w:lvlText w:val="%10.%2.%3.%4.%5 "/>
      <w:lvlJc w:val="left"/>
      <w:pPr>
        <w:ind w:left="0" w:firstLine="0"/>
      </w:pPr>
      <w:rPr>
        <w:rFonts w:hint="eastAsia" w:ascii="黑体" w:eastAsia="黑体" w:hAnsiTheme="minorHAnsi"/>
        <w:b w:val="0"/>
        <w:i w:val="0"/>
        <w:sz w:val="21"/>
      </w:rPr>
    </w:lvl>
    <w:lvl w:ilvl="5" w:tentative="0">
      <w:start w:val="1"/>
      <w:numFmt w:val="decimal"/>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15EF0C26"/>
    <w:multiLevelType w:val="multilevel"/>
    <w:tmpl w:val="15EF0C26"/>
    <w:lvl w:ilvl="0" w:tentative="0">
      <w:start w:val="1"/>
      <w:numFmt w:val="lowerLetter"/>
      <w:pStyle w:val="55"/>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0">
    <w:nsid w:val="1DF197E5"/>
    <w:multiLevelType w:val="singleLevel"/>
    <w:tmpl w:val="1DF197E5"/>
    <w:lvl w:ilvl="0" w:tentative="0">
      <w:start w:val="1"/>
      <w:numFmt w:val="decimal"/>
      <w:suff w:val="space"/>
      <w:lvlText w:val="[%1]"/>
      <w:lvlJc w:val="left"/>
      <w:rPr>
        <w:rFonts w:hint="default" w:ascii="宋体" w:hAnsi="宋体" w:eastAsia="宋体" w:cstheme="minorEastAsia"/>
        <w:sz w:val="21"/>
        <w:szCs w:val="21"/>
      </w:rPr>
    </w:lvl>
  </w:abstractNum>
  <w:abstractNum w:abstractNumId="21">
    <w:nsid w:val="1FC91163"/>
    <w:multiLevelType w:val="multilevel"/>
    <w:tmpl w:val="1FC91163"/>
    <w:lvl w:ilvl="0" w:tentative="0">
      <w:start w:val="1"/>
      <w:numFmt w:val="decimal"/>
      <w:pStyle w:val="50"/>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52"/>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54"/>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2">
    <w:nsid w:val="2659997A"/>
    <w:multiLevelType w:val="singleLevel"/>
    <w:tmpl w:val="2659997A"/>
    <w:lvl w:ilvl="0" w:tentative="0">
      <w:start w:val="1"/>
      <w:numFmt w:val="lowerLetter"/>
      <w:suff w:val="space"/>
      <w:lvlText w:val="%1）"/>
      <w:lvlJc w:val="left"/>
      <w:rPr>
        <w:rFonts w:hint="default" w:ascii="宋体" w:hAnsi="宋体" w:eastAsia="宋体" w:cs="宋体"/>
        <w:sz w:val="21"/>
        <w:szCs w:val="21"/>
      </w:rPr>
    </w:lvl>
  </w:abstractNum>
  <w:abstractNum w:abstractNumId="23">
    <w:nsid w:val="2C5917C3"/>
    <w:multiLevelType w:val="multilevel"/>
    <w:tmpl w:val="2C5917C3"/>
    <w:lvl w:ilvl="0" w:tentative="0">
      <w:start w:val="1"/>
      <w:numFmt w:val="none"/>
      <w:pStyle w:val="87"/>
      <w:suff w:val="nothing"/>
      <w:lvlText w:val="%1——"/>
      <w:lvlJc w:val="left"/>
      <w:pPr>
        <w:ind w:left="833" w:hanging="408"/>
      </w:pPr>
      <w:rPr>
        <w:rFonts w:hint="eastAsia"/>
        <w:lang w:val="en-US"/>
      </w:rPr>
    </w:lvl>
    <w:lvl w:ilvl="1" w:tentative="0">
      <w:start w:val="1"/>
      <w:numFmt w:val="bullet"/>
      <w:pStyle w:val="56"/>
      <w:lvlText w:val=""/>
      <w:lvlJc w:val="left"/>
      <w:pPr>
        <w:tabs>
          <w:tab w:val="left" w:pos="760"/>
        </w:tabs>
        <w:ind w:left="1264" w:hanging="413"/>
      </w:pPr>
      <w:rPr>
        <w:rFonts w:hint="default" w:ascii="Symbol" w:hAnsi="Symbol"/>
        <w:color w:val="auto"/>
      </w:rPr>
    </w:lvl>
    <w:lvl w:ilvl="2" w:tentative="0">
      <w:start w:val="1"/>
      <w:numFmt w:val="bullet"/>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4">
    <w:nsid w:val="2ECAA215"/>
    <w:multiLevelType w:val="singleLevel"/>
    <w:tmpl w:val="2ECAA215"/>
    <w:lvl w:ilvl="0" w:tentative="0">
      <w:start w:val="1"/>
      <w:numFmt w:val="decimal"/>
      <w:suff w:val="nothing"/>
      <w:lvlText w:val="%1）"/>
      <w:lvlJc w:val="left"/>
      <w:rPr>
        <w:rFonts w:hint="default" w:ascii="宋体" w:hAnsi="宋体" w:eastAsia="宋体" w:cs="宋体"/>
        <w:sz w:val="21"/>
        <w:szCs w:val="21"/>
      </w:rPr>
    </w:lvl>
  </w:abstractNum>
  <w:abstractNum w:abstractNumId="25">
    <w:nsid w:val="44C50F90"/>
    <w:multiLevelType w:val="multilevel"/>
    <w:tmpl w:val="44C50F90"/>
    <w:lvl w:ilvl="0" w:tentative="0">
      <w:start w:val="1"/>
      <w:numFmt w:val="lowerLetter"/>
      <w:pStyle w:val="78"/>
      <w:lvlText w:val="%1)"/>
      <w:lvlJc w:val="left"/>
      <w:pPr>
        <w:tabs>
          <w:tab w:val="left" w:pos="851"/>
        </w:tabs>
        <w:ind w:left="851" w:hanging="426"/>
      </w:pPr>
      <w:rPr>
        <w:rFonts w:hint="eastAsia" w:ascii="宋体" w:hAnsi="Times New Roman" w:eastAsia="宋体"/>
        <w:sz w:val="21"/>
      </w:rPr>
    </w:lvl>
    <w:lvl w:ilvl="1" w:tentative="0">
      <w:start w:val="1"/>
      <w:numFmt w:val="decimal"/>
      <w:pStyle w:val="79"/>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6">
    <w:nsid w:val="48802D1C"/>
    <w:multiLevelType w:val="multilevel"/>
    <w:tmpl w:val="48802D1C"/>
    <w:lvl w:ilvl="0" w:tentative="0">
      <w:start w:val="1"/>
      <w:numFmt w:val="upperLetter"/>
      <w:lvlText w:val="%1"/>
      <w:lvlJc w:val="left"/>
      <w:pPr>
        <w:ind w:left="420" w:hanging="420"/>
      </w:pPr>
      <w:rPr>
        <w:rFonts w:hint="eastAsia"/>
      </w:rPr>
    </w:lvl>
    <w:lvl w:ilvl="1" w:tentative="0">
      <w:start w:val="1"/>
      <w:numFmt w:val="decimal"/>
      <w:pStyle w:val="7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7">
    <w:nsid w:val="491F73D4"/>
    <w:multiLevelType w:val="singleLevel"/>
    <w:tmpl w:val="491F73D4"/>
    <w:lvl w:ilvl="0" w:tentative="0">
      <w:start w:val="1"/>
      <w:numFmt w:val="lowerLetter"/>
      <w:suff w:val="space"/>
      <w:lvlText w:val="%1）"/>
      <w:lvlJc w:val="left"/>
      <w:rPr>
        <w:rFonts w:hint="default" w:ascii="宋体" w:hAnsi="宋体" w:eastAsia="宋体" w:cs="宋体"/>
        <w:sz w:val="21"/>
        <w:szCs w:val="21"/>
      </w:rPr>
    </w:lvl>
  </w:abstractNum>
  <w:abstractNum w:abstractNumId="28">
    <w:nsid w:val="4B5A48F1"/>
    <w:multiLevelType w:val="singleLevel"/>
    <w:tmpl w:val="4B5A48F1"/>
    <w:lvl w:ilvl="0" w:tentative="0">
      <w:start w:val="1"/>
      <w:numFmt w:val="lowerLetter"/>
      <w:suff w:val="space"/>
      <w:lvlText w:val="%1）"/>
      <w:lvlJc w:val="left"/>
      <w:rPr>
        <w:rFonts w:hint="default" w:ascii="宋体" w:hAnsi="宋体" w:eastAsia="宋体" w:cs="宋体"/>
        <w:sz w:val="21"/>
        <w:szCs w:val="21"/>
      </w:rPr>
    </w:lvl>
  </w:abstractNum>
  <w:abstractNum w:abstractNumId="29">
    <w:nsid w:val="557C2AF5"/>
    <w:multiLevelType w:val="multilevel"/>
    <w:tmpl w:val="557C2AF5"/>
    <w:lvl w:ilvl="0" w:tentative="0">
      <w:start w:val="1"/>
      <w:numFmt w:val="decimal"/>
      <w:pStyle w:val="82"/>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55DE6E82"/>
    <w:multiLevelType w:val="singleLevel"/>
    <w:tmpl w:val="55DE6E82"/>
    <w:lvl w:ilvl="0" w:tentative="0">
      <w:start w:val="1"/>
      <w:numFmt w:val="lowerLetter"/>
      <w:suff w:val="space"/>
      <w:lvlText w:val="%1）"/>
      <w:lvlJc w:val="left"/>
      <w:rPr>
        <w:rFonts w:hint="default" w:ascii="宋体" w:hAnsi="宋体" w:eastAsia="宋体" w:cs="宋体"/>
        <w:sz w:val="21"/>
        <w:szCs w:val="21"/>
      </w:rPr>
    </w:lvl>
  </w:abstractNum>
  <w:abstractNum w:abstractNumId="31">
    <w:nsid w:val="5603797C"/>
    <w:multiLevelType w:val="multilevel"/>
    <w:tmpl w:val="5603797C"/>
    <w:lvl w:ilvl="0" w:tentative="0">
      <w:start w:val="1"/>
      <w:numFmt w:val="upperLetter"/>
      <w:suff w:val="space"/>
      <w:lvlText w:val="%1"/>
      <w:lvlJc w:val="left"/>
      <w:pPr>
        <w:ind w:left="425" w:hanging="425"/>
      </w:pPr>
      <w:rPr>
        <w:rFonts w:hint="eastAsia"/>
      </w:rPr>
    </w:lvl>
    <w:lvl w:ilvl="1" w:tentative="0">
      <w:start w:val="1"/>
      <w:numFmt w:val="decimal"/>
      <w:pStyle w:val="83"/>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2">
    <w:nsid w:val="646260FA"/>
    <w:multiLevelType w:val="multilevel"/>
    <w:tmpl w:val="646260FA"/>
    <w:lvl w:ilvl="0" w:tentative="0">
      <w:start w:val="1"/>
      <w:numFmt w:val="decimal"/>
      <w:pStyle w:val="60"/>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3">
    <w:nsid w:val="657D3FBC"/>
    <w:multiLevelType w:val="multilevel"/>
    <w:tmpl w:val="657D3FBC"/>
    <w:lvl w:ilvl="0" w:tentative="0">
      <w:start w:val="1"/>
      <w:numFmt w:val="upperLetter"/>
      <w:pStyle w:val="86"/>
      <w:suff w:val="nothing"/>
      <w:lvlText w:val="附　录　%1"/>
      <w:lvlJc w:val="left"/>
      <w:pPr>
        <w:ind w:left="4410" w:firstLine="0"/>
      </w:pPr>
      <w:rPr>
        <w:rFonts w:hint="eastAsia" w:ascii="黑体" w:hAnsi="Times New Roman" w:eastAsia="黑体"/>
        <w:b w:val="0"/>
        <w:i w:val="0"/>
        <w:spacing w:val="0"/>
        <w:w w:val="100"/>
        <w:sz w:val="21"/>
      </w:rPr>
    </w:lvl>
    <w:lvl w:ilvl="1" w:tentative="0">
      <w:start w:val="1"/>
      <w:numFmt w:val="decimal"/>
      <w:pStyle w:val="73"/>
      <w:suff w:val="nothing"/>
      <w:lvlText w:val="%1.%2　"/>
      <w:lvlJc w:val="left"/>
      <w:pPr>
        <w:ind w:left="4410" w:firstLine="0"/>
      </w:pPr>
      <w:rPr>
        <w:rFonts w:hint="eastAsia" w:ascii="黑体" w:hAnsi="Times New Roman" w:eastAsia="黑体"/>
        <w:b w:val="0"/>
        <w:i w:val="0"/>
        <w:snapToGrid/>
        <w:spacing w:val="0"/>
        <w:w w:val="100"/>
        <w:kern w:val="21"/>
        <w:sz w:val="21"/>
      </w:rPr>
    </w:lvl>
    <w:lvl w:ilvl="2" w:tentative="0">
      <w:start w:val="1"/>
      <w:numFmt w:val="decimal"/>
      <w:pStyle w:val="85"/>
      <w:suff w:val="nothing"/>
      <w:lvlText w:val="%1.%2.%3　"/>
      <w:lvlJc w:val="left"/>
      <w:pPr>
        <w:ind w:left="4410" w:firstLine="0"/>
      </w:pPr>
      <w:rPr>
        <w:rFonts w:hint="eastAsia" w:ascii="黑体" w:hAnsi="Times New Roman" w:eastAsia="黑体"/>
        <w:b w:val="0"/>
        <w:i w:val="0"/>
        <w:sz w:val="21"/>
      </w:rPr>
    </w:lvl>
    <w:lvl w:ilvl="3" w:tentative="0">
      <w:start w:val="1"/>
      <w:numFmt w:val="decimal"/>
      <w:suff w:val="nothing"/>
      <w:lvlText w:val="%1.%2.%3.%4　"/>
      <w:lvlJc w:val="left"/>
      <w:pPr>
        <w:ind w:left="4410" w:firstLine="0"/>
      </w:pPr>
      <w:rPr>
        <w:rFonts w:hint="eastAsia" w:ascii="黑体" w:hAnsi="Times New Roman" w:eastAsia="黑体"/>
        <w:b w:val="0"/>
        <w:i w:val="0"/>
        <w:sz w:val="21"/>
      </w:rPr>
    </w:lvl>
    <w:lvl w:ilvl="4" w:tentative="0">
      <w:start w:val="1"/>
      <w:numFmt w:val="decimal"/>
      <w:suff w:val="nothing"/>
      <w:lvlText w:val="%1.%2.%3.%4.%5　"/>
      <w:lvlJc w:val="left"/>
      <w:pPr>
        <w:ind w:left="4410" w:firstLine="0"/>
      </w:pPr>
      <w:rPr>
        <w:rFonts w:hint="eastAsia" w:ascii="黑体" w:hAnsi="Times New Roman" w:eastAsia="黑体"/>
        <w:b w:val="0"/>
        <w:i w:val="0"/>
        <w:sz w:val="21"/>
      </w:rPr>
    </w:lvl>
    <w:lvl w:ilvl="5" w:tentative="0">
      <w:start w:val="1"/>
      <w:numFmt w:val="decimal"/>
      <w:suff w:val="nothing"/>
      <w:lvlText w:val="%1.%2.%3.%4.%5.%6　"/>
      <w:lvlJc w:val="left"/>
      <w:pPr>
        <w:ind w:left="4410" w:firstLine="0"/>
      </w:pPr>
      <w:rPr>
        <w:rFonts w:hint="eastAsia" w:ascii="黑体" w:hAnsi="Times New Roman" w:eastAsia="黑体"/>
        <w:b w:val="0"/>
        <w:i w:val="0"/>
        <w:sz w:val="21"/>
      </w:rPr>
    </w:lvl>
    <w:lvl w:ilvl="6" w:tentative="0">
      <w:start w:val="1"/>
      <w:numFmt w:val="decimal"/>
      <w:suff w:val="nothing"/>
      <w:lvlText w:val="%1.%2.%3.%4.%5.%6.%7　"/>
      <w:lvlJc w:val="left"/>
      <w:pPr>
        <w:ind w:left="441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8804" w:hanging="1418"/>
      </w:pPr>
      <w:rPr>
        <w:rFonts w:hint="eastAsia"/>
      </w:rPr>
    </w:lvl>
    <w:lvl w:ilvl="8" w:tentative="0">
      <w:start w:val="1"/>
      <w:numFmt w:val="decimal"/>
      <w:lvlText w:val="%1.%2.%3.%4.%5.%6.%7.%8.%9"/>
      <w:lvlJc w:val="left"/>
      <w:pPr>
        <w:tabs>
          <w:tab w:val="left" w:pos="5102"/>
        </w:tabs>
        <w:ind w:left="9512" w:hanging="1700"/>
      </w:pPr>
      <w:rPr>
        <w:rFonts w:hint="eastAsia"/>
      </w:rPr>
    </w:lvl>
  </w:abstractNum>
  <w:abstractNum w:abstractNumId="34">
    <w:nsid w:val="6738912C"/>
    <w:multiLevelType w:val="singleLevel"/>
    <w:tmpl w:val="6738912C"/>
    <w:lvl w:ilvl="0" w:tentative="0">
      <w:start w:val="1"/>
      <w:numFmt w:val="lowerLetter"/>
      <w:suff w:val="space"/>
      <w:lvlText w:val="%1）"/>
      <w:lvlJc w:val="left"/>
      <w:rPr>
        <w:rFonts w:hint="default" w:ascii="宋体" w:hAnsi="宋体" w:eastAsia="宋体" w:cs="宋体"/>
        <w:sz w:val="21"/>
        <w:szCs w:val="21"/>
      </w:rPr>
    </w:lvl>
  </w:abstractNum>
  <w:abstractNum w:abstractNumId="35">
    <w:nsid w:val="6BB01266"/>
    <w:multiLevelType w:val="singleLevel"/>
    <w:tmpl w:val="6BB01266"/>
    <w:lvl w:ilvl="0" w:tentative="0">
      <w:start w:val="1"/>
      <w:numFmt w:val="lowerLetter"/>
      <w:suff w:val="space"/>
      <w:lvlText w:val="%1）"/>
      <w:lvlJc w:val="left"/>
      <w:rPr>
        <w:rFonts w:hint="default" w:ascii="宋体" w:hAnsi="宋体" w:eastAsia="宋体" w:cs="宋体"/>
        <w:sz w:val="21"/>
        <w:szCs w:val="21"/>
      </w:rPr>
    </w:lvl>
  </w:abstractNum>
  <w:abstractNum w:abstractNumId="36">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66"/>
      <w:suff w:val="nothing"/>
      <w:lvlText w:val="%1%2　"/>
      <w:lvlJc w:val="left"/>
      <w:pPr>
        <w:ind w:left="0" w:firstLine="0"/>
      </w:pPr>
      <w:rPr>
        <w:rFonts w:hint="eastAsia" w:ascii="黑体" w:eastAsia="黑体"/>
        <w:b w:val="0"/>
        <w:i w:val="0"/>
        <w:sz w:val="21"/>
      </w:rPr>
    </w:lvl>
    <w:lvl w:ilvl="2" w:tentative="0">
      <w:start w:val="1"/>
      <w:numFmt w:val="decimal"/>
      <w:pStyle w:val="6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9"/>
      <w:suff w:val="nothing"/>
      <w:lvlText w:val="%1%2.%3.%4　"/>
      <w:lvlJc w:val="left"/>
      <w:pPr>
        <w:ind w:left="0" w:firstLine="0"/>
      </w:pPr>
      <w:rPr>
        <w:rFonts w:hint="eastAsia" w:ascii="黑体" w:eastAsia="黑体"/>
        <w:b w:val="0"/>
        <w:i w:val="0"/>
        <w:sz w:val="21"/>
      </w:rPr>
    </w:lvl>
    <w:lvl w:ilvl="4" w:tentative="0">
      <w:start w:val="1"/>
      <w:numFmt w:val="decimal"/>
      <w:pStyle w:val="81"/>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7">
    <w:nsid w:val="6DBB5875"/>
    <w:multiLevelType w:val="singleLevel"/>
    <w:tmpl w:val="6DBB5875"/>
    <w:lvl w:ilvl="0" w:tentative="0">
      <w:start w:val="1"/>
      <w:numFmt w:val="lowerLetter"/>
      <w:suff w:val="space"/>
      <w:lvlText w:val="%1）"/>
      <w:lvlJc w:val="left"/>
      <w:rPr>
        <w:rFonts w:hint="default" w:ascii="宋体" w:hAnsi="宋体" w:eastAsia="宋体" w:cs="宋体"/>
        <w:sz w:val="21"/>
        <w:szCs w:val="21"/>
      </w:rPr>
    </w:lvl>
  </w:abstractNum>
  <w:abstractNum w:abstractNumId="38">
    <w:nsid w:val="6DBF04F4"/>
    <w:multiLevelType w:val="multilevel"/>
    <w:tmpl w:val="6DBF04F4"/>
    <w:lvl w:ilvl="0" w:tentative="0">
      <w:start w:val="1"/>
      <w:numFmt w:val="none"/>
      <w:pStyle w:val="84"/>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9">
    <w:nsid w:val="77C79739"/>
    <w:multiLevelType w:val="singleLevel"/>
    <w:tmpl w:val="77C79739"/>
    <w:lvl w:ilvl="0" w:tentative="0">
      <w:start w:val="1"/>
      <w:numFmt w:val="decimal"/>
      <w:suff w:val="nothing"/>
      <w:lvlText w:val="%1）"/>
      <w:lvlJc w:val="left"/>
      <w:rPr>
        <w:rFonts w:hint="default" w:ascii="宋体" w:hAnsi="宋体" w:eastAsia="宋体" w:cs="宋体"/>
        <w:sz w:val="21"/>
        <w:szCs w:val="21"/>
      </w:rPr>
    </w:lvl>
  </w:abstractNum>
  <w:num w:numId="1">
    <w:abstractNumId w:val="18"/>
  </w:num>
  <w:num w:numId="2">
    <w:abstractNumId w:val="21"/>
  </w:num>
  <w:num w:numId="3">
    <w:abstractNumId w:val="19"/>
  </w:num>
  <w:num w:numId="4">
    <w:abstractNumId w:val="23"/>
  </w:num>
  <w:num w:numId="5">
    <w:abstractNumId w:val="38"/>
  </w:num>
  <w:num w:numId="6">
    <w:abstractNumId w:val="33"/>
  </w:num>
  <w:num w:numId="7">
    <w:abstractNumId w:val="32"/>
  </w:num>
  <w:num w:numId="8">
    <w:abstractNumId w:val="36"/>
  </w:num>
  <w:num w:numId="9">
    <w:abstractNumId w:val="26"/>
  </w:num>
  <w:num w:numId="10">
    <w:abstractNumId w:val="17"/>
  </w:num>
  <w:num w:numId="11">
    <w:abstractNumId w:val="25"/>
  </w:num>
  <w:num w:numId="12">
    <w:abstractNumId w:val="29"/>
  </w:num>
  <w:num w:numId="13">
    <w:abstractNumId w:val="31"/>
  </w:num>
  <w:num w:numId="14">
    <w:abstractNumId w:val="7"/>
  </w:num>
  <w:num w:numId="15">
    <w:abstractNumId w:val="8"/>
  </w:num>
  <w:num w:numId="16">
    <w:abstractNumId w:val="9"/>
  </w:num>
  <w:num w:numId="17">
    <w:abstractNumId w:val="39"/>
  </w:num>
  <w:num w:numId="18">
    <w:abstractNumId w:val="13"/>
  </w:num>
  <w:num w:numId="19">
    <w:abstractNumId w:val="35"/>
  </w:num>
  <w:num w:numId="20">
    <w:abstractNumId w:val="28"/>
  </w:num>
  <w:num w:numId="21">
    <w:abstractNumId w:val="27"/>
  </w:num>
  <w:num w:numId="22">
    <w:abstractNumId w:val="24"/>
  </w:num>
  <w:num w:numId="23">
    <w:abstractNumId w:val="30"/>
  </w:num>
  <w:num w:numId="24">
    <w:abstractNumId w:val="10"/>
  </w:num>
  <w:num w:numId="25">
    <w:abstractNumId w:val="15"/>
  </w:num>
  <w:num w:numId="26">
    <w:abstractNumId w:val="37"/>
  </w:num>
  <w:num w:numId="27">
    <w:abstractNumId w:val="5"/>
  </w:num>
  <w:num w:numId="28">
    <w:abstractNumId w:val="4"/>
  </w:num>
  <w:num w:numId="29">
    <w:abstractNumId w:val="2"/>
  </w:num>
  <w:num w:numId="30">
    <w:abstractNumId w:val="14"/>
  </w:num>
  <w:num w:numId="31">
    <w:abstractNumId w:val="0"/>
  </w:num>
  <w:num w:numId="32">
    <w:abstractNumId w:val="34"/>
  </w:num>
  <w:num w:numId="33">
    <w:abstractNumId w:val="16"/>
  </w:num>
  <w:num w:numId="34">
    <w:abstractNumId w:val="11"/>
  </w:num>
  <w:num w:numId="35">
    <w:abstractNumId w:val="6"/>
  </w:num>
  <w:num w:numId="36">
    <w:abstractNumId w:val="12"/>
  </w:num>
  <w:num w:numId="37">
    <w:abstractNumId w:val="3"/>
  </w:num>
  <w:num w:numId="38">
    <w:abstractNumId w:val="22"/>
  </w:num>
  <w:num w:numId="39">
    <w:abstractNumId w:val="1"/>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mirrorMargins w:val="1"/>
  <w:bordersDoNotSurroundHeader w:val="0"/>
  <w:bordersDoNotSurroundFooter w:val="0"/>
  <w:documentProtection w:edit="trackedChanges"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JjOTdkMDk2ZTI1OWZiYzFjYTFjZDJlOTYxYjQ5ZTIifQ=="/>
    <w:docVar w:name="KSO_WPS_MARK_KEY" w:val="52548aae-2002-4139-9182-7b8689647ee4"/>
  </w:docVars>
  <w:rsids>
    <w:rsidRoot w:val="002C4A7A"/>
    <w:rsid w:val="00000C6F"/>
    <w:rsid w:val="00002D7A"/>
    <w:rsid w:val="00005817"/>
    <w:rsid w:val="00013861"/>
    <w:rsid w:val="000173A8"/>
    <w:rsid w:val="0001746B"/>
    <w:rsid w:val="00031630"/>
    <w:rsid w:val="0003782B"/>
    <w:rsid w:val="000505F8"/>
    <w:rsid w:val="000511AD"/>
    <w:rsid w:val="0005686E"/>
    <w:rsid w:val="00056E11"/>
    <w:rsid w:val="0006343E"/>
    <w:rsid w:val="00065304"/>
    <w:rsid w:val="00071463"/>
    <w:rsid w:val="00074CE1"/>
    <w:rsid w:val="00075ADA"/>
    <w:rsid w:val="00081105"/>
    <w:rsid w:val="000814DC"/>
    <w:rsid w:val="0009093B"/>
    <w:rsid w:val="0009104A"/>
    <w:rsid w:val="00092A3E"/>
    <w:rsid w:val="000944B1"/>
    <w:rsid w:val="000946C9"/>
    <w:rsid w:val="0009741B"/>
    <w:rsid w:val="000A05E2"/>
    <w:rsid w:val="000B1AD2"/>
    <w:rsid w:val="000B5222"/>
    <w:rsid w:val="000C1F9F"/>
    <w:rsid w:val="000D3EF6"/>
    <w:rsid w:val="000D5C84"/>
    <w:rsid w:val="000E084D"/>
    <w:rsid w:val="000E4AD1"/>
    <w:rsid w:val="000F2CB4"/>
    <w:rsid w:val="001103A2"/>
    <w:rsid w:val="00110D5E"/>
    <w:rsid w:val="00110EC6"/>
    <w:rsid w:val="00112AF7"/>
    <w:rsid w:val="00113409"/>
    <w:rsid w:val="001202C0"/>
    <w:rsid w:val="00120961"/>
    <w:rsid w:val="0012099B"/>
    <w:rsid w:val="00133094"/>
    <w:rsid w:val="0014534C"/>
    <w:rsid w:val="001462B7"/>
    <w:rsid w:val="00147278"/>
    <w:rsid w:val="00147564"/>
    <w:rsid w:val="00147A7E"/>
    <w:rsid w:val="00147F7E"/>
    <w:rsid w:val="001516E1"/>
    <w:rsid w:val="0015700F"/>
    <w:rsid w:val="0016095C"/>
    <w:rsid w:val="0016154E"/>
    <w:rsid w:val="001720FB"/>
    <w:rsid w:val="00173651"/>
    <w:rsid w:val="0017564C"/>
    <w:rsid w:val="00175A7C"/>
    <w:rsid w:val="001760F7"/>
    <w:rsid w:val="00176E61"/>
    <w:rsid w:val="00195C90"/>
    <w:rsid w:val="0019613E"/>
    <w:rsid w:val="001A1683"/>
    <w:rsid w:val="001A2848"/>
    <w:rsid w:val="001A2A72"/>
    <w:rsid w:val="001A2CD6"/>
    <w:rsid w:val="001B007D"/>
    <w:rsid w:val="001B0CF3"/>
    <w:rsid w:val="001B3AC1"/>
    <w:rsid w:val="001C0F5C"/>
    <w:rsid w:val="001C10DE"/>
    <w:rsid w:val="001C3415"/>
    <w:rsid w:val="001C4DED"/>
    <w:rsid w:val="001C7FB4"/>
    <w:rsid w:val="001D0910"/>
    <w:rsid w:val="001D2F2F"/>
    <w:rsid w:val="001D2F99"/>
    <w:rsid w:val="001D48D0"/>
    <w:rsid w:val="001D70CD"/>
    <w:rsid w:val="001E0871"/>
    <w:rsid w:val="001E3D11"/>
    <w:rsid w:val="001E4804"/>
    <w:rsid w:val="001E7BD6"/>
    <w:rsid w:val="001F47C8"/>
    <w:rsid w:val="00211953"/>
    <w:rsid w:val="002209AC"/>
    <w:rsid w:val="00220A99"/>
    <w:rsid w:val="00222A27"/>
    <w:rsid w:val="00223A5B"/>
    <w:rsid w:val="00223BD4"/>
    <w:rsid w:val="00230CF6"/>
    <w:rsid w:val="00230F2F"/>
    <w:rsid w:val="00247720"/>
    <w:rsid w:val="00251127"/>
    <w:rsid w:val="00251537"/>
    <w:rsid w:val="00251550"/>
    <w:rsid w:val="002517ED"/>
    <w:rsid w:val="00262444"/>
    <w:rsid w:val="00276A28"/>
    <w:rsid w:val="002829F1"/>
    <w:rsid w:val="0028337F"/>
    <w:rsid w:val="00285357"/>
    <w:rsid w:val="00286986"/>
    <w:rsid w:val="00290F18"/>
    <w:rsid w:val="00293BD3"/>
    <w:rsid w:val="002950A9"/>
    <w:rsid w:val="00296094"/>
    <w:rsid w:val="002A2A23"/>
    <w:rsid w:val="002A4D51"/>
    <w:rsid w:val="002A5A01"/>
    <w:rsid w:val="002A5BCE"/>
    <w:rsid w:val="002B3E52"/>
    <w:rsid w:val="002B5800"/>
    <w:rsid w:val="002C253D"/>
    <w:rsid w:val="002C3A09"/>
    <w:rsid w:val="002C4A7A"/>
    <w:rsid w:val="002C57A0"/>
    <w:rsid w:val="002C639A"/>
    <w:rsid w:val="002D2351"/>
    <w:rsid w:val="002D38F3"/>
    <w:rsid w:val="002D49DC"/>
    <w:rsid w:val="002D54BC"/>
    <w:rsid w:val="002E5B5C"/>
    <w:rsid w:val="002F2052"/>
    <w:rsid w:val="002F2C23"/>
    <w:rsid w:val="002F3CCA"/>
    <w:rsid w:val="00301D6E"/>
    <w:rsid w:val="0030224A"/>
    <w:rsid w:val="00302D0D"/>
    <w:rsid w:val="00304C82"/>
    <w:rsid w:val="00311B67"/>
    <w:rsid w:val="0031322E"/>
    <w:rsid w:val="00317DB9"/>
    <w:rsid w:val="00327834"/>
    <w:rsid w:val="00330DE3"/>
    <w:rsid w:val="00334B35"/>
    <w:rsid w:val="00334DA4"/>
    <w:rsid w:val="00335ABA"/>
    <w:rsid w:val="00340030"/>
    <w:rsid w:val="00340CAC"/>
    <w:rsid w:val="003422C6"/>
    <w:rsid w:val="003438AA"/>
    <w:rsid w:val="00344E14"/>
    <w:rsid w:val="0034543B"/>
    <w:rsid w:val="00346C04"/>
    <w:rsid w:val="00354DAE"/>
    <w:rsid w:val="00355096"/>
    <w:rsid w:val="003568F1"/>
    <w:rsid w:val="00362FF0"/>
    <w:rsid w:val="003662BC"/>
    <w:rsid w:val="00366DB7"/>
    <w:rsid w:val="00367200"/>
    <w:rsid w:val="0037136A"/>
    <w:rsid w:val="003720DC"/>
    <w:rsid w:val="00375FCF"/>
    <w:rsid w:val="00387FF8"/>
    <w:rsid w:val="00393266"/>
    <w:rsid w:val="003A0DBB"/>
    <w:rsid w:val="003A238B"/>
    <w:rsid w:val="003B6878"/>
    <w:rsid w:val="003C0E5B"/>
    <w:rsid w:val="003C2C65"/>
    <w:rsid w:val="003C31B0"/>
    <w:rsid w:val="003D0151"/>
    <w:rsid w:val="003D13FA"/>
    <w:rsid w:val="003D1497"/>
    <w:rsid w:val="003E0580"/>
    <w:rsid w:val="003E28CE"/>
    <w:rsid w:val="003F714F"/>
    <w:rsid w:val="00407B9E"/>
    <w:rsid w:val="00417738"/>
    <w:rsid w:val="0042003E"/>
    <w:rsid w:val="004212D3"/>
    <w:rsid w:val="00422051"/>
    <w:rsid w:val="0042333A"/>
    <w:rsid w:val="00426BC8"/>
    <w:rsid w:val="00430DD2"/>
    <w:rsid w:val="004426FC"/>
    <w:rsid w:val="0044581A"/>
    <w:rsid w:val="00451407"/>
    <w:rsid w:val="00451847"/>
    <w:rsid w:val="00454031"/>
    <w:rsid w:val="0045451F"/>
    <w:rsid w:val="004574AE"/>
    <w:rsid w:val="004610BF"/>
    <w:rsid w:val="00471508"/>
    <w:rsid w:val="004926A0"/>
    <w:rsid w:val="00495E4E"/>
    <w:rsid w:val="004A0644"/>
    <w:rsid w:val="004A132F"/>
    <w:rsid w:val="004A6AB6"/>
    <w:rsid w:val="004B01AE"/>
    <w:rsid w:val="004B12F5"/>
    <w:rsid w:val="004B2D06"/>
    <w:rsid w:val="004B540D"/>
    <w:rsid w:val="004C2F70"/>
    <w:rsid w:val="004C5E71"/>
    <w:rsid w:val="004D09E4"/>
    <w:rsid w:val="004D424C"/>
    <w:rsid w:val="004D5B9A"/>
    <w:rsid w:val="004E01DA"/>
    <w:rsid w:val="004E3E2D"/>
    <w:rsid w:val="004E4186"/>
    <w:rsid w:val="004E4DE6"/>
    <w:rsid w:val="004F0C75"/>
    <w:rsid w:val="004F3DCC"/>
    <w:rsid w:val="00506EF4"/>
    <w:rsid w:val="005102EF"/>
    <w:rsid w:val="00510EBE"/>
    <w:rsid w:val="005122CD"/>
    <w:rsid w:val="00520237"/>
    <w:rsid w:val="00523728"/>
    <w:rsid w:val="00524CE2"/>
    <w:rsid w:val="0053086A"/>
    <w:rsid w:val="00534D92"/>
    <w:rsid w:val="00536AD1"/>
    <w:rsid w:val="00540818"/>
    <w:rsid w:val="00542910"/>
    <w:rsid w:val="00546657"/>
    <w:rsid w:val="00554600"/>
    <w:rsid w:val="0055478B"/>
    <w:rsid w:val="005606B4"/>
    <w:rsid w:val="00563D0F"/>
    <w:rsid w:val="005701EA"/>
    <w:rsid w:val="00575480"/>
    <w:rsid w:val="00591331"/>
    <w:rsid w:val="005928C2"/>
    <w:rsid w:val="00596070"/>
    <w:rsid w:val="005A2C7F"/>
    <w:rsid w:val="005A4975"/>
    <w:rsid w:val="005A60AC"/>
    <w:rsid w:val="005B6D29"/>
    <w:rsid w:val="005C370B"/>
    <w:rsid w:val="005E015F"/>
    <w:rsid w:val="005E1CA7"/>
    <w:rsid w:val="005F2DCC"/>
    <w:rsid w:val="005F5CFF"/>
    <w:rsid w:val="00600F7C"/>
    <w:rsid w:val="006045C0"/>
    <w:rsid w:val="00610AF4"/>
    <w:rsid w:val="00613357"/>
    <w:rsid w:val="00616AFA"/>
    <w:rsid w:val="00621AD2"/>
    <w:rsid w:val="00626507"/>
    <w:rsid w:val="0062656D"/>
    <w:rsid w:val="00633884"/>
    <w:rsid w:val="00635FE2"/>
    <w:rsid w:val="00637850"/>
    <w:rsid w:val="00640CD9"/>
    <w:rsid w:val="00646C9D"/>
    <w:rsid w:val="006476F3"/>
    <w:rsid w:val="0065660B"/>
    <w:rsid w:val="00662568"/>
    <w:rsid w:val="006738FB"/>
    <w:rsid w:val="00673C24"/>
    <w:rsid w:val="006763FD"/>
    <w:rsid w:val="006839CD"/>
    <w:rsid w:val="006867E4"/>
    <w:rsid w:val="00686AB4"/>
    <w:rsid w:val="00687FF9"/>
    <w:rsid w:val="00694817"/>
    <w:rsid w:val="00695FD6"/>
    <w:rsid w:val="006965B2"/>
    <w:rsid w:val="00697323"/>
    <w:rsid w:val="006A3A00"/>
    <w:rsid w:val="006A587D"/>
    <w:rsid w:val="006B00F8"/>
    <w:rsid w:val="006B0EDD"/>
    <w:rsid w:val="006B4E4A"/>
    <w:rsid w:val="006D1713"/>
    <w:rsid w:val="006D3593"/>
    <w:rsid w:val="006D384B"/>
    <w:rsid w:val="006D7F23"/>
    <w:rsid w:val="006E42DF"/>
    <w:rsid w:val="006E6B90"/>
    <w:rsid w:val="00705B6D"/>
    <w:rsid w:val="0070744F"/>
    <w:rsid w:val="007078CB"/>
    <w:rsid w:val="00711444"/>
    <w:rsid w:val="00716D47"/>
    <w:rsid w:val="00717C25"/>
    <w:rsid w:val="00720335"/>
    <w:rsid w:val="00721D42"/>
    <w:rsid w:val="00723CE8"/>
    <w:rsid w:val="00724CC3"/>
    <w:rsid w:val="00732CFF"/>
    <w:rsid w:val="00732DD3"/>
    <w:rsid w:val="00733FAB"/>
    <w:rsid w:val="00734A6B"/>
    <w:rsid w:val="00736BCB"/>
    <w:rsid w:val="007373F7"/>
    <w:rsid w:val="007404DC"/>
    <w:rsid w:val="0074159C"/>
    <w:rsid w:val="0074173E"/>
    <w:rsid w:val="00741CBE"/>
    <w:rsid w:val="00743636"/>
    <w:rsid w:val="00751B91"/>
    <w:rsid w:val="00754A67"/>
    <w:rsid w:val="007569D0"/>
    <w:rsid w:val="00762676"/>
    <w:rsid w:val="007667E9"/>
    <w:rsid w:val="007747B0"/>
    <w:rsid w:val="00775703"/>
    <w:rsid w:val="0077630C"/>
    <w:rsid w:val="00777F91"/>
    <w:rsid w:val="00784961"/>
    <w:rsid w:val="007906E7"/>
    <w:rsid w:val="00790CFC"/>
    <w:rsid w:val="00793C9B"/>
    <w:rsid w:val="007A262B"/>
    <w:rsid w:val="007A325E"/>
    <w:rsid w:val="007B71FE"/>
    <w:rsid w:val="007B7740"/>
    <w:rsid w:val="007C5205"/>
    <w:rsid w:val="007C6FAF"/>
    <w:rsid w:val="007C72D7"/>
    <w:rsid w:val="007D209B"/>
    <w:rsid w:val="007D6D20"/>
    <w:rsid w:val="007D77B7"/>
    <w:rsid w:val="007E1F24"/>
    <w:rsid w:val="007E451F"/>
    <w:rsid w:val="007F0AD4"/>
    <w:rsid w:val="007F0CE2"/>
    <w:rsid w:val="007F3D33"/>
    <w:rsid w:val="007F7E53"/>
    <w:rsid w:val="008029D3"/>
    <w:rsid w:val="008034D8"/>
    <w:rsid w:val="00803B33"/>
    <w:rsid w:val="0080474D"/>
    <w:rsid w:val="00804961"/>
    <w:rsid w:val="008062A9"/>
    <w:rsid w:val="0081659D"/>
    <w:rsid w:val="008204BD"/>
    <w:rsid w:val="00820C60"/>
    <w:rsid w:val="00822BEB"/>
    <w:rsid w:val="008237E6"/>
    <w:rsid w:val="00823FD0"/>
    <w:rsid w:val="008338C4"/>
    <w:rsid w:val="00842185"/>
    <w:rsid w:val="008423AD"/>
    <w:rsid w:val="00844C83"/>
    <w:rsid w:val="0084707B"/>
    <w:rsid w:val="0085002F"/>
    <w:rsid w:val="0085316A"/>
    <w:rsid w:val="008570AF"/>
    <w:rsid w:val="008601C4"/>
    <w:rsid w:val="0086279F"/>
    <w:rsid w:val="00864F8B"/>
    <w:rsid w:val="00866D54"/>
    <w:rsid w:val="00867DB6"/>
    <w:rsid w:val="0087171A"/>
    <w:rsid w:val="00871E5F"/>
    <w:rsid w:val="00874360"/>
    <w:rsid w:val="00874E16"/>
    <w:rsid w:val="008778D8"/>
    <w:rsid w:val="008823C4"/>
    <w:rsid w:val="00885586"/>
    <w:rsid w:val="00886D2A"/>
    <w:rsid w:val="00892FE8"/>
    <w:rsid w:val="008A525F"/>
    <w:rsid w:val="008A778B"/>
    <w:rsid w:val="008A7A04"/>
    <w:rsid w:val="008B2AA1"/>
    <w:rsid w:val="008B4744"/>
    <w:rsid w:val="008B4CD3"/>
    <w:rsid w:val="008C1198"/>
    <w:rsid w:val="008C23EA"/>
    <w:rsid w:val="008C6DE2"/>
    <w:rsid w:val="008C754A"/>
    <w:rsid w:val="008D32D9"/>
    <w:rsid w:val="008D50F3"/>
    <w:rsid w:val="008D6AC9"/>
    <w:rsid w:val="008E1D3D"/>
    <w:rsid w:val="008E73CE"/>
    <w:rsid w:val="008F7846"/>
    <w:rsid w:val="00900625"/>
    <w:rsid w:val="00900D6C"/>
    <w:rsid w:val="00902C03"/>
    <w:rsid w:val="009056B3"/>
    <w:rsid w:val="00905EC8"/>
    <w:rsid w:val="00906EE2"/>
    <w:rsid w:val="00912AA0"/>
    <w:rsid w:val="00914E1E"/>
    <w:rsid w:val="0092183B"/>
    <w:rsid w:val="00922FAC"/>
    <w:rsid w:val="009304BF"/>
    <w:rsid w:val="00932FD3"/>
    <w:rsid w:val="00941A12"/>
    <w:rsid w:val="00941B18"/>
    <w:rsid w:val="009449CC"/>
    <w:rsid w:val="00945592"/>
    <w:rsid w:val="00953360"/>
    <w:rsid w:val="009534B7"/>
    <w:rsid w:val="0095703E"/>
    <w:rsid w:val="0096181B"/>
    <w:rsid w:val="00961EC7"/>
    <w:rsid w:val="00970C6E"/>
    <w:rsid w:val="00975728"/>
    <w:rsid w:val="00992159"/>
    <w:rsid w:val="0099488E"/>
    <w:rsid w:val="009956AD"/>
    <w:rsid w:val="00996CA4"/>
    <w:rsid w:val="009A18CB"/>
    <w:rsid w:val="009A67D7"/>
    <w:rsid w:val="009A7D1D"/>
    <w:rsid w:val="009B2735"/>
    <w:rsid w:val="009B5AFA"/>
    <w:rsid w:val="009B6DC7"/>
    <w:rsid w:val="009B7156"/>
    <w:rsid w:val="009C15D7"/>
    <w:rsid w:val="009C71D1"/>
    <w:rsid w:val="009D11D8"/>
    <w:rsid w:val="009D27A6"/>
    <w:rsid w:val="009D5852"/>
    <w:rsid w:val="009E229D"/>
    <w:rsid w:val="009E4501"/>
    <w:rsid w:val="009F022A"/>
    <w:rsid w:val="009F25EB"/>
    <w:rsid w:val="009F4144"/>
    <w:rsid w:val="009F655E"/>
    <w:rsid w:val="00A0144F"/>
    <w:rsid w:val="00A0565D"/>
    <w:rsid w:val="00A0685D"/>
    <w:rsid w:val="00A06B8F"/>
    <w:rsid w:val="00A129D5"/>
    <w:rsid w:val="00A25BFF"/>
    <w:rsid w:val="00A26884"/>
    <w:rsid w:val="00A27283"/>
    <w:rsid w:val="00A2795C"/>
    <w:rsid w:val="00A31209"/>
    <w:rsid w:val="00A32E92"/>
    <w:rsid w:val="00A35EAE"/>
    <w:rsid w:val="00A415A9"/>
    <w:rsid w:val="00A421AD"/>
    <w:rsid w:val="00A516F3"/>
    <w:rsid w:val="00A52074"/>
    <w:rsid w:val="00A561C6"/>
    <w:rsid w:val="00A62CE9"/>
    <w:rsid w:val="00A634E6"/>
    <w:rsid w:val="00A66329"/>
    <w:rsid w:val="00A7056C"/>
    <w:rsid w:val="00A713B5"/>
    <w:rsid w:val="00A72B72"/>
    <w:rsid w:val="00A73768"/>
    <w:rsid w:val="00A87B13"/>
    <w:rsid w:val="00A92BF9"/>
    <w:rsid w:val="00A96125"/>
    <w:rsid w:val="00AA0DC4"/>
    <w:rsid w:val="00AA377C"/>
    <w:rsid w:val="00AA425D"/>
    <w:rsid w:val="00AB2CAF"/>
    <w:rsid w:val="00AB64F6"/>
    <w:rsid w:val="00AD00A8"/>
    <w:rsid w:val="00AD428E"/>
    <w:rsid w:val="00AD74A7"/>
    <w:rsid w:val="00AE49BE"/>
    <w:rsid w:val="00AE55AC"/>
    <w:rsid w:val="00AE5F8A"/>
    <w:rsid w:val="00AF53DB"/>
    <w:rsid w:val="00AF7AFE"/>
    <w:rsid w:val="00B01237"/>
    <w:rsid w:val="00B02086"/>
    <w:rsid w:val="00B06017"/>
    <w:rsid w:val="00B10919"/>
    <w:rsid w:val="00B1286A"/>
    <w:rsid w:val="00B1318E"/>
    <w:rsid w:val="00B17747"/>
    <w:rsid w:val="00B21CF9"/>
    <w:rsid w:val="00B309C2"/>
    <w:rsid w:val="00B319F3"/>
    <w:rsid w:val="00B33754"/>
    <w:rsid w:val="00B36BE0"/>
    <w:rsid w:val="00B37391"/>
    <w:rsid w:val="00B42D11"/>
    <w:rsid w:val="00B42FF5"/>
    <w:rsid w:val="00B450A3"/>
    <w:rsid w:val="00B61230"/>
    <w:rsid w:val="00B61250"/>
    <w:rsid w:val="00B618E8"/>
    <w:rsid w:val="00B634DB"/>
    <w:rsid w:val="00B64FF7"/>
    <w:rsid w:val="00B66014"/>
    <w:rsid w:val="00B759FB"/>
    <w:rsid w:val="00B857D0"/>
    <w:rsid w:val="00B97265"/>
    <w:rsid w:val="00BA4CDD"/>
    <w:rsid w:val="00BA70BA"/>
    <w:rsid w:val="00BA7E3E"/>
    <w:rsid w:val="00BB0517"/>
    <w:rsid w:val="00BC34A7"/>
    <w:rsid w:val="00BC6585"/>
    <w:rsid w:val="00BC76F2"/>
    <w:rsid w:val="00BD3F71"/>
    <w:rsid w:val="00BD44B5"/>
    <w:rsid w:val="00BE3C8C"/>
    <w:rsid w:val="00BE537A"/>
    <w:rsid w:val="00BE6581"/>
    <w:rsid w:val="00BF4AEF"/>
    <w:rsid w:val="00C042FA"/>
    <w:rsid w:val="00C1161C"/>
    <w:rsid w:val="00C16AD7"/>
    <w:rsid w:val="00C20320"/>
    <w:rsid w:val="00C2384C"/>
    <w:rsid w:val="00C245B1"/>
    <w:rsid w:val="00C27A7C"/>
    <w:rsid w:val="00C30043"/>
    <w:rsid w:val="00C33755"/>
    <w:rsid w:val="00C34933"/>
    <w:rsid w:val="00C40C1D"/>
    <w:rsid w:val="00C40E79"/>
    <w:rsid w:val="00C42E3C"/>
    <w:rsid w:val="00C45C14"/>
    <w:rsid w:val="00C462F3"/>
    <w:rsid w:val="00C46ADD"/>
    <w:rsid w:val="00C477F2"/>
    <w:rsid w:val="00C47CFD"/>
    <w:rsid w:val="00C50974"/>
    <w:rsid w:val="00C51190"/>
    <w:rsid w:val="00C624AE"/>
    <w:rsid w:val="00C657CE"/>
    <w:rsid w:val="00C65B45"/>
    <w:rsid w:val="00C672AB"/>
    <w:rsid w:val="00C67BC0"/>
    <w:rsid w:val="00C7008A"/>
    <w:rsid w:val="00C72B93"/>
    <w:rsid w:val="00C7460A"/>
    <w:rsid w:val="00C774B2"/>
    <w:rsid w:val="00C83947"/>
    <w:rsid w:val="00C84D5C"/>
    <w:rsid w:val="00C91A53"/>
    <w:rsid w:val="00C93A0F"/>
    <w:rsid w:val="00C93CF3"/>
    <w:rsid w:val="00CA2979"/>
    <w:rsid w:val="00CA3ECD"/>
    <w:rsid w:val="00CA5E90"/>
    <w:rsid w:val="00CB084A"/>
    <w:rsid w:val="00CB251A"/>
    <w:rsid w:val="00CB69C0"/>
    <w:rsid w:val="00CB6A26"/>
    <w:rsid w:val="00CC212B"/>
    <w:rsid w:val="00CE0575"/>
    <w:rsid w:val="00CE1209"/>
    <w:rsid w:val="00CE274E"/>
    <w:rsid w:val="00CE5A6D"/>
    <w:rsid w:val="00CF2291"/>
    <w:rsid w:val="00D069E0"/>
    <w:rsid w:val="00D137EA"/>
    <w:rsid w:val="00D169F2"/>
    <w:rsid w:val="00D20D83"/>
    <w:rsid w:val="00D2420F"/>
    <w:rsid w:val="00D256C0"/>
    <w:rsid w:val="00D32A80"/>
    <w:rsid w:val="00D403C5"/>
    <w:rsid w:val="00D4585F"/>
    <w:rsid w:val="00D47CAE"/>
    <w:rsid w:val="00D50BA3"/>
    <w:rsid w:val="00D53255"/>
    <w:rsid w:val="00D6138F"/>
    <w:rsid w:val="00D624B9"/>
    <w:rsid w:val="00D6371B"/>
    <w:rsid w:val="00D642F5"/>
    <w:rsid w:val="00D7138D"/>
    <w:rsid w:val="00D7526C"/>
    <w:rsid w:val="00D77234"/>
    <w:rsid w:val="00D80501"/>
    <w:rsid w:val="00D81394"/>
    <w:rsid w:val="00D85470"/>
    <w:rsid w:val="00D86D72"/>
    <w:rsid w:val="00D914B1"/>
    <w:rsid w:val="00D91668"/>
    <w:rsid w:val="00D965AB"/>
    <w:rsid w:val="00D965BD"/>
    <w:rsid w:val="00DA7326"/>
    <w:rsid w:val="00DB3696"/>
    <w:rsid w:val="00DC418F"/>
    <w:rsid w:val="00DD4EC4"/>
    <w:rsid w:val="00DD5468"/>
    <w:rsid w:val="00DD6F40"/>
    <w:rsid w:val="00DE201D"/>
    <w:rsid w:val="00DF1EBF"/>
    <w:rsid w:val="00DF29FB"/>
    <w:rsid w:val="00DF3B2F"/>
    <w:rsid w:val="00DF48F2"/>
    <w:rsid w:val="00DF4BB1"/>
    <w:rsid w:val="00E0028F"/>
    <w:rsid w:val="00E0383F"/>
    <w:rsid w:val="00E03A13"/>
    <w:rsid w:val="00E03C54"/>
    <w:rsid w:val="00E0525C"/>
    <w:rsid w:val="00E1059E"/>
    <w:rsid w:val="00E120F0"/>
    <w:rsid w:val="00E14F1D"/>
    <w:rsid w:val="00E20A7B"/>
    <w:rsid w:val="00E22829"/>
    <w:rsid w:val="00E3004D"/>
    <w:rsid w:val="00E31B6C"/>
    <w:rsid w:val="00E3509B"/>
    <w:rsid w:val="00E3537D"/>
    <w:rsid w:val="00E36C78"/>
    <w:rsid w:val="00E401C4"/>
    <w:rsid w:val="00E42F0F"/>
    <w:rsid w:val="00E45044"/>
    <w:rsid w:val="00E504BD"/>
    <w:rsid w:val="00E537D1"/>
    <w:rsid w:val="00E55655"/>
    <w:rsid w:val="00E621A8"/>
    <w:rsid w:val="00E72AA8"/>
    <w:rsid w:val="00E72BBB"/>
    <w:rsid w:val="00E81B66"/>
    <w:rsid w:val="00E8389F"/>
    <w:rsid w:val="00E84983"/>
    <w:rsid w:val="00E90FDD"/>
    <w:rsid w:val="00E91C59"/>
    <w:rsid w:val="00E96805"/>
    <w:rsid w:val="00EA115D"/>
    <w:rsid w:val="00EB1109"/>
    <w:rsid w:val="00EB2C29"/>
    <w:rsid w:val="00EB2DBC"/>
    <w:rsid w:val="00EB3505"/>
    <w:rsid w:val="00EB3E6D"/>
    <w:rsid w:val="00EB474D"/>
    <w:rsid w:val="00EB5D5A"/>
    <w:rsid w:val="00EB6A2C"/>
    <w:rsid w:val="00EC1078"/>
    <w:rsid w:val="00EC6E3E"/>
    <w:rsid w:val="00ED3E70"/>
    <w:rsid w:val="00ED4091"/>
    <w:rsid w:val="00ED5E11"/>
    <w:rsid w:val="00EE07BC"/>
    <w:rsid w:val="00EE2AFA"/>
    <w:rsid w:val="00EE4615"/>
    <w:rsid w:val="00EE4642"/>
    <w:rsid w:val="00EF0721"/>
    <w:rsid w:val="00EF20A1"/>
    <w:rsid w:val="00F12CCA"/>
    <w:rsid w:val="00F16A12"/>
    <w:rsid w:val="00F16BA1"/>
    <w:rsid w:val="00F200FB"/>
    <w:rsid w:val="00F233DA"/>
    <w:rsid w:val="00F26471"/>
    <w:rsid w:val="00F31218"/>
    <w:rsid w:val="00F435EB"/>
    <w:rsid w:val="00F535DE"/>
    <w:rsid w:val="00F55043"/>
    <w:rsid w:val="00F57198"/>
    <w:rsid w:val="00F63CB5"/>
    <w:rsid w:val="00F65D80"/>
    <w:rsid w:val="00F7039A"/>
    <w:rsid w:val="00F71261"/>
    <w:rsid w:val="00F74A9C"/>
    <w:rsid w:val="00F770EC"/>
    <w:rsid w:val="00F7776A"/>
    <w:rsid w:val="00F86029"/>
    <w:rsid w:val="00F87873"/>
    <w:rsid w:val="00F936A8"/>
    <w:rsid w:val="00F9473B"/>
    <w:rsid w:val="00F95647"/>
    <w:rsid w:val="00FA7729"/>
    <w:rsid w:val="00FB2A20"/>
    <w:rsid w:val="00FB2C86"/>
    <w:rsid w:val="00FB5098"/>
    <w:rsid w:val="00FB5530"/>
    <w:rsid w:val="00FC4373"/>
    <w:rsid w:val="00FC741B"/>
    <w:rsid w:val="00FC7C26"/>
    <w:rsid w:val="00FD0995"/>
    <w:rsid w:val="00FD4916"/>
    <w:rsid w:val="00FD6E30"/>
    <w:rsid w:val="00FE06BE"/>
    <w:rsid w:val="00FE26D3"/>
    <w:rsid w:val="00FE6BAA"/>
    <w:rsid w:val="00FE7CB2"/>
    <w:rsid w:val="00FF2E8A"/>
    <w:rsid w:val="00FF47E6"/>
    <w:rsid w:val="01B97F5E"/>
    <w:rsid w:val="02670DCF"/>
    <w:rsid w:val="034D2939"/>
    <w:rsid w:val="043164D2"/>
    <w:rsid w:val="04DB69C7"/>
    <w:rsid w:val="056C2AC8"/>
    <w:rsid w:val="078D3A1F"/>
    <w:rsid w:val="087C25AC"/>
    <w:rsid w:val="08D94A4A"/>
    <w:rsid w:val="09332050"/>
    <w:rsid w:val="09652865"/>
    <w:rsid w:val="097D3D26"/>
    <w:rsid w:val="0ADA2F69"/>
    <w:rsid w:val="0AE10BBF"/>
    <w:rsid w:val="0B4B7E79"/>
    <w:rsid w:val="0BBA5614"/>
    <w:rsid w:val="0BBD0185"/>
    <w:rsid w:val="0CA573F4"/>
    <w:rsid w:val="0D011260"/>
    <w:rsid w:val="0E572FD9"/>
    <w:rsid w:val="0F5D4929"/>
    <w:rsid w:val="0FB5747F"/>
    <w:rsid w:val="10F22B45"/>
    <w:rsid w:val="11EA4A5D"/>
    <w:rsid w:val="123426ED"/>
    <w:rsid w:val="1330335A"/>
    <w:rsid w:val="13492913"/>
    <w:rsid w:val="140915D6"/>
    <w:rsid w:val="14AB42D7"/>
    <w:rsid w:val="15912AB1"/>
    <w:rsid w:val="159863B1"/>
    <w:rsid w:val="1614131D"/>
    <w:rsid w:val="16585639"/>
    <w:rsid w:val="16B6476F"/>
    <w:rsid w:val="1986454E"/>
    <w:rsid w:val="19BD2F50"/>
    <w:rsid w:val="19D653D3"/>
    <w:rsid w:val="19E576EB"/>
    <w:rsid w:val="1A9F3EA8"/>
    <w:rsid w:val="1AE557D7"/>
    <w:rsid w:val="1AF62448"/>
    <w:rsid w:val="1CE617B0"/>
    <w:rsid w:val="1D475092"/>
    <w:rsid w:val="1E901E0D"/>
    <w:rsid w:val="1EFC4C0E"/>
    <w:rsid w:val="1F3709E9"/>
    <w:rsid w:val="1F5511FE"/>
    <w:rsid w:val="1F791B4A"/>
    <w:rsid w:val="1FF922F7"/>
    <w:rsid w:val="203A6C9D"/>
    <w:rsid w:val="213D7067"/>
    <w:rsid w:val="23282A50"/>
    <w:rsid w:val="235D1A58"/>
    <w:rsid w:val="23607492"/>
    <w:rsid w:val="23893375"/>
    <w:rsid w:val="23D049E7"/>
    <w:rsid w:val="24425481"/>
    <w:rsid w:val="24BD0797"/>
    <w:rsid w:val="24F31A54"/>
    <w:rsid w:val="262E49A9"/>
    <w:rsid w:val="291C47AB"/>
    <w:rsid w:val="295126A7"/>
    <w:rsid w:val="299E589B"/>
    <w:rsid w:val="29DD2289"/>
    <w:rsid w:val="2A0674B9"/>
    <w:rsid w:val="2A19342E"/>
    <w:rsid w:val="2A9E6EDA"/>
    <w:rsid w:val="2AC259E9"/>
    <w:rsid w:val="2B5F5209"/>
    <w:rsid w:val="2BEF00BA"/>
    <w:rsid w:val="2E6A0BA9"/>
    <w:rsid w:val="2F033AB7"/>
    <w:rsid w:val="2FC604F2"/>
    <w:rsid w:val="30512DC8"/>
    <w:rsid w:val="305807BF"/>
    <w:rsid w:val="30BA0FA5"/>
    <w:rsid w:val="32697E49"/>
    <w:rsid w:val="33116C37"/>
    <w:rsid w:val="346D3B46"/>
    <w:rsid w:val="350C1E24"/>
    <w:rsid w:val="355276CD"/>
    <w:rsid w:val="37875802"/>
    <w:rsid w:val="397A5D84"/>
    <w:rsid w:val="3A38257A"/>
    <w:rsid w:val="3A773D1D"/>
    <w:rsid w:val="3AA47EC1"/>
    <w:rsid w:val="3B337E5E"/>
    <w:rsid w:val="3BAF3FBC"/>
    <w:rsid w:val="3C0C2E90"/>
    <w:rsid w:val="3C153A08"/>
    <w:rsid w:val="3D6F398A"/>
    <w:rsid w:val="3D9E1027"/>
    <w:rsid w:val="3E6447D3"/>
    <w:rsid w:val="3E914FDF"/>
    <w:rsid w:val="3FCB4391"/>
    <w:rsid w:val="407103DB"/>
    <w:rsid w:val="413E41AB"/>
    <w:rsid w:val="41DD26A1"/>
    <w:rsid w:val="432D5ADB"/>
    <w:rsid w:val="4512297E"/>
    <w:rsid w:val="455B5C08"/>
    <w:rsid w:val="459E4A6E"/>
    <w:rsid w:val="45E5444B"/>
    <w:rsid w:val="45F10943"/>
    <w:rsid w:val="46024881"/>
    <w:rsid w:val="46432AD9"/>
    <w:rsid w:val="4840005F"/>
    <w:rsid w:val="48C6265B"/>
    <w:rsid w:val="48F913DE"/>
    <w:rsid w:val="491679AE"/>
    <w:rsid w:val="4CC8541E"/>
    <w:rsid w:val="4D7C7F66"/>
    <w:rsid w:val="4E497F1B"/>
    <w:rsid w:val="4E72372F"/>
    <w:rsid w:val="4E826BA1"/>
    <w:rsid w:val="4FB1069A"/>
    <w:rsid w:val="4FB262DF"/>
    <w:rsid w:val="502913D8"/>
    <w:rsid w:val="506A1CDA"/>
    <w:rsid w:val="513145D7"/>
    <w:rsid w:val="51DB264E"/>
    <w:rsid w:val="52013E99"/>
    <w:rsid w:val="52884ADC"/>
    <w:rsid w:val="54EF45B2"/>
    <w:rsid w:val="561C68FE"/>
    <w:rsid w:val="564A7828"/>
    <w:rsid w:val="56FA05E0"/>
    <w:rsid w:val="57205312"/>
    <w:rsid w:val="575B4970"/>
    <w:rsid w:val="58953240"/>
    <w:rsid w:val="58EA0B58"/>
    <w:rsid w:val="597102CD"/>
    <w:rsid w:val="5A782E0E"/>
    <w:rsid w:val="5AA42EE1"/>
    <w:rsid w:val="5AB20E18"/>
    <w:rsid w:val="5ADD04B0"/>
    <w:rsid w:val="5B6068E3"/>
    <w:rsid w:val="5BA33F75"/>
    <w:rsid w:val="5E127A94"/>
    <w:rsid w:val="5EC2103E"/>
    <w:rsid w:val="5F3651D2"/>
    <w:rsid w:val="604C4754"/>
    <w:rsid w:val="612E72BF"/>
    <w:rsid w:val="61354081"/>
    <w:rsid w:val="61E0223F"/>
    <w:rsid w:val="62275A9D"/>
    <w:rsid w:val="62A274F4"/>
    <w:rsid w:val="63473BF7"/>
    <w:rsid w:val="64490C49"/>
    <w:rsid w:val="663F48D4"/>
    <w:rsid w:val="66832C22"/>
    <w:rsid w:val="66910CA5"/>
    <w:rsid w:val="67451519"/>
    <w:rsid w:val="68706054"/>
    <w:rsid w:val="688A0DE6"/>
    <w:rsid w:val="68917B90"/>
    <w:rsid w:val="68F02F9E"/>
    <w:rsid w:val="691D1DC4"/>
    <w:rsid w:val="69CF4947"/>
    <w:rsid w:val="6A4626EF"/>
    <w:rsid w:val="6A7C706D"/>
    <w:rsid w:val="6ADF74D7"/>
    <w:rsid w:val="6BCA186A"/>
    <w:rsid w:val="6C0563E5"/>
    <w:rsid w:val="6C6C0C3F"/>
    <w:rsid w:val="6C71064E"/>
    <w:rsid w:val="6C89702F"/>
    <w:rsid w:val="6C917B8F"/>
    <w:rsid w:val="6D1B05CF"/>
    <w:rsid w:val="6DAD049D"/>
    <w:rsid w:val="6ECD387A"/>
    <w:rsid w:val="6F2F03DB"/>
    <w:rsid w:val="6FF139B8"/>
    <w:rsid w:val="70064409"/>
    <w:rsid w:val="707D50FC"/>
    <w:rsid w:val="72127AC6"/>
    <w:rsid w:val="73765CE2"/>
    <w:rsid w:val="7383295D"/>
    <w:rsid w:val="743442CC"/>
    <w:rsid w:val="748E5C99"/>
    <w:rsid w:val="74BF2C7A"/>
    <w:rsid w:val="75682D8E"/>
    <w:rsid w:val="75A31161"/>
    <w:rsid w:val="75D25B10"/>
    <w:rsid w:val="76442929"/>
    <w:rsid w:val="76C27A63"/>
    <w:rsid w:val="795409C4"/>
    <w:rsid w:val="7A0433FC"/>
    <w:rsid w:val="7AF60F49"/>
    <w:rsid w:val="7BBE3424"/>
    <w:rsid w:val="7E0328BC"/>
    <w:rsid w:val="7E5D3F34"/>
    <w:rsid w:val="7FAC1FBF"/>
    <w:rsid w:val="7FF57E3F"/>
    <w:rsid w:val="7FF907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f">
      <v:fill on="t" focussize="0,0"/>
      <v:stroke on="f"/>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31"/>
    <w:qFormat/>
    <w:uiPriority w:val="99"/>
    <w:pPr>
      <w:keepNext/>
      <w:keepLines/>
      <w:spacing w:before="340" w:after="330" w:line="578" w:lineRule="auto"/>
      <w:outlineLvl w:val="0"/>
    </w:pPr>
    <w:rPr>
      <w:rFonts w:ascii="Calibri" w:hAnsi="Calibri" w:eastAsia="宋体" w:cs="Times New Roman"/>
      <w:b/>
      <w:bCs/>
      <w:kern w:val="44"/>
      <w:sz w:val="44"/>
      <w:szCs w:val="44"/>
    </w:rPr>
  </w:style>
  <w:style w:type="paragraph" w:styleId="4">
    <w:name w:val="heading 2"/>
    <w:basedOn w:val="1"/>
    <w:next w:val="1"/>
    <w:link w:val="3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8"/>
    <w:semiHidden/>
    <w:unhideWhenUsed/>
    <w:qFormat/>
    <w:uiPriority w:val="9"/>
    <w:pPr>
      <w:keepNext/>
      <w:keepLines/>
      <w:spacing w:before="260" w:after="260" w:line="416" w:lineRule="auto"/>
      <w:outlineLvl w:val="2"/>
    </w:pPr>
    <w:rPr>
      <w:b/>
      <w:bCs/>
      <w:sz w:val="32"/>
      <w:szCs w:val="32"/>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style>
  <w:style w:type="paragraph" w:styleId="6">
    <w:name w:val="Normal Indent"/>
    <w:basedOn w:val="1"/>
    <w:next w:val="7"/>
    <w:qFormat/>
    <w:uiPriority w:val="0"/>
    <w:pPr>
      <w:ind w:firstLine="420"/>
    </w:pPr>
  </w:style>
  <w:style w:type="paragraph" w:styleId="7">
    <w:name w:val="envelope return"/>
    <w:basedOn w:val="1"/>
    <w:qFormat/>
    <w:uiPriority w:val="0"/>
    <w:pPr>
      <w:snapToGrid w:val="0"/>
    </w:pPr>
    <w:rPr>
      <w:rFonts w:ascii="Arial" w:hAnsi="Arial" w:eastAsia="仿宋_GB2312"/>
      <w:sz w:val="32"/>
    </w:rPr>
  </w:style>
  <w:style w:type="paragraph" w:styleId="8">
    <w:name w:val="annotation text"/>
    <w:basedOn w:val="1"/>
    <w:semiHidden/>
    <w:unhideWhenUsed/>
    <w:qFormat/>
    <w:uiPriority w:val="99"/>
    <w:pPr>
      <w:jc w:val="left"/>
    </w:pPr>
  </w:style>
  <w:style w:type="paragraph" w:styleId="9">
    <w:name w:val="toc 3"/>
    <w:basedOn w:val="1"/>
    <w:next w:val="1"/>
    <w:semiHidden/>
    <w:unhideWhenUsed/>
    <w:qFormat/>
    <w:uiPriority w:val="39"/>
    <w:pPr>
      <w:ind w:left="840" w:leftChars="400"/>
    </w:pPr>
  </w:style>
  <w:style w:type="paragraph" w:styleId="10">
    <w:name w:val="Date"/>
    <w:basedOn w:val="1"/>
    <w:next w:val="1"/>
    <w:link w:val="46"/>
    <w:semiHidden/>
    <w:unhideWhenUsed/>
    <w:qFormat/>
    <w:uiPriority w:val="99"/>
    <w:pPr>
      <w:ind w:left="100" w:leftChars="2500"/>
    </w:pPr>
  </w:style>
  <w:style w:type="paragraph" w:styleId="11">
    <w:name w:val="Body Text Indent 2"/>
    <w:basedOn w:val="1"/>
    <w:link w:val="39"/>
    <w:qFormat/>
    <w:uiPriority w:val="0"/>
    <w:pPr>
      <w:spacing w:line="276" w:lineRule="auto"/>
      <w:ind w:firstLine="420" w:firstLineChars="200"/>
    </w:pPr>
    <w:rPr>
      <w:rFonts w:ascii="宋体" w:hAnsi="宋体" w:eastAsia="宋体" w:cs="Times New Roman"/>
      <w:snapToGrid w:val="0"/>
      <w:kern w:val="0"/>
      <w:szCs w:val="24"/>
    </w:rPr>
  </w:style>
  <w:style w:type="paragraph" w:styleId="12">
    <w:name w:val="Balloon Text"/>
    <w:basedOn w:val="1"/>
    <w:link w:val="27"/>
    <w:semiHidden/>
    <w:unhideWhenUsed/>
    <w:qFormat/>
    <w:uiPriority w:val="99"/>
    <w:rPr>
      <w:sz w:val="18"/>
      <w:szCs w:val="18"/>
    </w:rPr>
  </w:style>
  <w:style w:type="paragraph" w:styleId="13">
    <w:name w:val="footer"/>
    <w:basedOn w:val="1"/>
    <w:link w:val="26"/>
    <w:unhideWhenUsed/>
    <w:qFormat/>
    <w:uiPriority w:val="99"/>
    <w:pPr>
      <w:tabs>
        <w:tab w:val="center" w:pos="4153"/>
        <w:tab w:val="right" w:pos="8306"/>
      </w:tabs>
      <w:snapToGrid w:val="0"/>
      <w:jc w:val="left"/>
    </w:pPr>
    <w:rPr>
      <w:sz w:val="18"/>
      <w:szCs w:val="18"/>
    </w:rPr>
  </w:style>
  <w:style w:type="paragraph" w:styleId="14">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unhideWhenUsed/>
    <w:qFormat/>
    <w:uiPriority w:val="39"/>
  </w:style>
  <w:style w:type="paragraph" w:styleId="16">
    <w:name w:val="Subtitle"/>
    <w:basedOn w:val="1"/>
    <w:next w:val="1"/>
    <w:link w:val="35"/>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17">
    <w:name w:val="toc 2"/>
    <w:basedOn w:val="1"/>
    <w:next w:val="1"/>
    <w:unhideWhenUsed/>
    <w:qFormat/>
    <w:uiPriority w:val="39"/>
    <w:pPr>
      <w:tabs>
        <w:tab w:val="right" w:leader="dot" w:pos="9344"/>
      </w:tabs>
      <w:ind w:left="420" w:leftChars="200"/>
    </w:pPr>
  </w:style>
  <w:style w:type="paragraph" w:styleId="18">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36"/>
    <w:qFormat/>
    <w:uiPriority w:val="10"/>
    <w:pPr>
      <w:spacing w:before="240" w:after="60"/>
      <w:jc w:val="center"/>
      <w:outlineLvl w:val="0"/>
    </w:pPr>
    <w:rPr>
      <w:rFonts w:eastAsia="宋体" w:asciiTheme="majorHAnsi" w:hAnsiTheme="majorHAnsi" w:cstheme="majorBidi"/>
      <w:b/>
      <w:bCs/>
      <w:sz w:val="32"/>
      <w:szCs w:val="32"/>
    </w:rPr>
  </w:style>
  <w:style w:type="table" w:styleId="21">
    <w:name w:val="Table Grid"/>
    <w:basedOn w:val="2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basedOn w:val="22"/>
    <w:unhideWhenUsed/>
    <w:qFormat/>
    <w:uiPriority w:val="99"/>
    <w:rPr>
      <w:color w:val="0000FF" w:themeColor="hyperlink"/>
      <w:u w:val="single"/>
      <w14:textFill>
        <w14:solidFill>
          <w14:schemeClr w14:val="hlink"/>
        </w14:solidFill>
      </w14:textFill>
    </w:rPr>
  </w:style>
  <w:style w:type="character" w:styleId="24">
    <w:name w:val="annotation reference"/>
    <w:basedOn w:val="22"/>
    <w:semiHidden/>
    <w:unhideWhenUsed/>
    <w:qFormat/>
    <w:uiPriority w:val="99"/>
    <w:rPr>
      <w:sz w:val="21"/>
      <w:szCs w:val="21"/>
    </w:rPr>
  </w:style>
  <w:style w:type="character" w:customStyle="1" w:styleId="25">
    <w:name w:val="页眉 Char"/>
    <w:basedOn w:val="22"/>
    <w:link w:val="14"/>
    <w:qFormat/>
    <w:uiPriority w:val="99"/>
    <w:rPr>
      <w:sz w:val="18"/>
      <w:szCs w:val="18"/>
    </w:rPr>
  </w:style>
  <w:style w:type="character" w:customStyle="1" w:styleId="26">
    <w:name w:val="页脚 Char"/>
    <w:basedOn w:val="22"/>
    <w:link w:val="13"/>
    <w:qFormat/>
    <w:uiPriority w:val="99"/>
    <w:rPr>
      <w:sz w:val="18"/>
      <w:szCs w:val="18"/>
    </w:rPr>
  </w:style>
  <w:style w:type="character" w:customStyle="1" w:styleId="27">
    <w:name w:val="批注框文本 Char"/>
    <w:basedOn w:val="22"/>
    <w:link w:val="12"/>
    <w:semiHidden/>
    <w:qFormat/>
    <w:uiPriority w:val="99"/>
    <w:rPr>
      <w:sz w:val="18"/>
      <w:szCs w:val="18"/>
    </w:rPr>
  </w:style>
  <w:style w:type="paragraph" w:styleId="28">
    <w:name w:val="List Paragraph"/>
    <w:basedOn w:val="1"/>
    <w:qFormat/>
    <w:uiPriority w:val="34"/>
    <w:pPr>
      <w:ind w:firstLine="420" w:firstLineChars="200"/>
    </w:pPr>
  </w:style>
  <w:style w:type="paragraph" w:customStyle="1" w:styleId="2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30">
    <w:name w:val="Char Char Char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character" w:customStyle="1" w:styleId="31">
    <w:name w:val="标题 1 Char"/>
    <w:basedOn w:val="22"/>
    <w:link w:val="3"/>
    <w:qFormat/>
    <w:uiPriority w:val="99"/>
    <w:rPr>
      <w:rFonts w:ascii="Calibri" w:hAnsi="Calibri" w:eastAsia="宋体" w:cs="Times New Roman"/>
      <w:b/>
      <w:bCs/>
      <w:kern w:val="44"/>
      <w:sz w:val="44"/>
      <w:szCs w:val="44"/>
    </w:rPr>
  </w:style>
  <w:style w:type="paragraph" w:styleId="32">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paragraph" w:customStyle="1" w:styleId="33">
    <w:name w:val="封面标准号1"/>
    <w:qFormat/>
    <w:uiPriority w:val="0"/>
    <w:pPr>
      <w:widowControl w:val="0"/>
      <w:kinsoku w:val="0"/>
      <w:overflowPunct w:val="0"/>
      <w:autoSpaceDE w:val="0"/>
      <w:autoSpaceDN w:val="0"/>
      <w:spacing w:before="308"/>
      <w:jc w:val="right"/>
    </w:pPr>
    <w:rPr>
      <w:rFonts w:ascii="Times New Roman" w:hAnsi="Times New Roman" w:eastAsia="宋体" w:cs="Times New Roman"/>
      <w:sz w:val="28"/>
      <w:lang w:val="en-US" w:eastAsia="zh-CN" w:bidi="ar-SA"/>
    </w:rPr>
  </w:style>
  <w:style w:type="character" w:customStyle="1" w:styleId="34">
    <w:name w:val="不明显强调1"/>
    <w:basedOn w:val="22"/>
    <w:qFormat/>
    <w:uiPriority w:val="19"/>
    <w:rPr>
      <w:i/>
      <w:iCs/>
      <w:color w:val="808080" w:themeColor="text1" w:themeTint="80"/>
      <w14:textFill>
        <w14:solidFill>
          <w14:schemeClr w14:val="tx1">
            <w14:lumMod w14:val="50000"/>
            <w14:lumOff w14:val="50000"/>
          </w14:schemeClr>
        </w14:solidFill>
      </w14:textFill>
    </w:rPr>
  </w:style>
  <w:style w:type="character" w:customStyle="1" w:styleId="35">
    <w:name w:val="副标题 Char"/>
    <w:basedOn w:val="22"/>
    <w:link w:val="16"/>
    <w:qFormat/>
    <w:uiPriority w:val="11"/>
    <w:rPr>
      <w:rFonts w:eastAsia="宋体" w:asciiTheme="majorHAnsi" w:hAnsiTheme="majorHAnsi" w:cstheme="majorBidi"/>
      <w:b/>
      <w:bCs/>
      <w:kern w:val="28"/>
      <w:sz w:val="32"/>
      <w:szCs w:val="32"/>
    </w:rPr>
  </w:style>
  <w:style w:type="character" w:customStyle="1" w:styleId="36">
    <w:name w:val="标题 Char"/>
    <w:basedOn w:val="22"/>
    <w:link w:val="19"/>
    <w:qFormat/>
    <w:uiPriority w:val="10"/>
    <w:rPr>
      <w:rFonts w:eastAsia="宋体" w:asciiTheme="majorHAnsi" w:hAnsiTheme="majorHAnsi" w:cstheme="majorBidi"/>
      <w:b/>
      <w:bCs/>
      <w:sz w:val="32"/>
      <w:szCs w:val="32"/>
    </w:rPr>
  </w:style>
  <w:style w:type="character" w:customStyle="1" w:styleId="37">
    <w:name w:val="标题 2 Char"/>
    <w:basedOn w:val="22"/>
    <w:link w:val="4"/>
    <w:qFormat/>
    <w:uiPriority w:val="9"/>
    <w:rPr>
      <w:rFonts w:asciiTheme="majorHAnsi" w:hAnsiTheme="majorHAnsi" w:eastAsiaTheme="majorEastAsia" w:cstheme="majorBidi"/>
      <w:b/>
      <w:bCs/>
      <w:sz w:val="32"/>
      <w:szCs w:val="32"/>
    </w:rPr>
  </w:style>
  <w:style w:type="character" w:customStyle="1" w:styleId="38">
    <w:name w:val="标题 3 Char"/>
    <w:basedOn w:val="22"/>
    <w:link w:val="5"/>
    <w:semiHidden/>
    <w:qFormat/>
    <w:uiPriority w:val="9"/>
    <w:rPr>
      <w:b/>
      <w:bCs/>
      <w:sz w:val="32"/>
      <w:szCs w:val="32"/>
    </w:rPr>
  </w:style>
  <w:style w:type="character" w:customStyle="1" w:styleId="39">
    <w:name w:val="正文文本缩进 2 Char"/>
    <w:basedOn w:val="22"/>
    <w:link w:val="11"/>
    <w:qFormat/>
    <w:uiPriority w:val="0"/>
    <w:rPr>
      <w:rFonts w:ascii="宋体" w:hAnsi="宋体" w:eastAsia="宋体" w:cs="Times New Roman"/>
      <w:snapToGrid w:val="0"/>
      <w:kern w:val="0"/>
      <w:szCs w:val="24"/>
    </w:rPr>
  </w:style>
  <w:style w:type="paragraph" w:customStyle="1" w:styleId="40">
    <w:name w:val="三级条标题"/>
    <w:basedOn w:val="1"/>
    <w:next w:val="1"/>
    <w:qFormat/>
    <w:uiPriority w:val="0"/>
    <w:pPr>
      <w:widowControl/>
      <w:ind w:left="855"/>
      <w:outlineLvl w:val="4"/>
    </w:pPr>
    <w:rPr>
      <w:rFonts w:ascii="黑体" w:hAnsi="Times New Roman" w:eastAsia="黑体" w:cs="Times New Roman"/>
      <w:kern w:val="0"/>
      <w:szCs w:val="20"/>
    </w:rPr>
  </w:style>
  <w:style w:type="paragraph" w:customStyle="1" w:styleId="41">
    <w:name w:val="附录章标题"/>
    <w:next w:val="1"/>
    <w:qFormat/>
    <w:uiPriority w:val="0"/>
    <w:pPr>
      <w:wordWrap w:val="0"/>
      <w:overflowPunct w:val="0"/>
      <w:autoSpaceDE w:val="0"/>
      <w:spacing w:beforeLines="50" w:afterLines="50"/>
      <w:ind w:left="4047"/>
      <w:jc w:val="both"/>
      <w:textAlignment w:val="baseline"/>
      <w:outlineLvl w:val="1"/>
    </w:pPr>
    <w:rPr>
      <w:rFonts w:ascii="黑体" w:hAnsi="Times New Roman" w:eastAsia="黑体" w:cs="Times New Roman"/>
      <w:kern w:val="21"/>
      <w:sz w:val="21"/>
      <w:lang w:val="en-US" w:eastAsia="zh-CN" w:bidi="ar-SA"/>
    </w:rPr>
  </w:style>
  <w:style w:type="paragraph" w:customStyle="1" w:styleId="42">
    <w:name w:val="附录表标题"/>
    <w:next w:val="1"/>
    <w:qFormat/>
    <w:uiPriority w:val="0"/>
    <w:pPr>
      <w:jc w:val="center"/>
      <w:textAlignment w:val="baseline"/>
    </w:pPr>
    <w:rPr>
      <w:rFonts w:ascii="黑体" w:hAnsi="Times New Roman" w:eastAsia="黑体" w:cs="Times New Roman"/>
      <w:kern w:val="21"/>
      <w:sz w:val="21"/>
      <w:lang w:val="en-US" w:eastAsia="zh-CN" w:bidi="ar-SA"/>
    </w:rPr>
  </w:style>
  <w:style w:type="paragraph" w:customStyle="1" w:styleId="4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character" w:customStyle="1" w:styleId="44">
    <w:name w:val="high-light-bg4"/>
    <w:basedOn w:val="22"/>
    <w:qFormat/>
    <w:uiPriority w:val="0"/>
  </w:style>
  <w:style w:type="character" w:customStyle="1" w:styleId="45">
    <w:name w:val="ordinary-span-edit2"/>
    <w:basedOn w:val="22"/>
    <w:qFormat/>
    <w:uiPriority w:val="0"/>
  </w:style>
  <w:style w:type="character" w:customStyle="1" w:styleId="46">
    <w:name w:val="日期 Char"/>
    <w:basedOn w:val="22"/>
    <w:link w:val="10"/>
    <w:semiHidden/>
    <w:qFormat/>
    <w:uiPriority w:val="99"/>
  </w:style>
  <w:style w:type="paragraph" w:customStyle="1" w:styleId="47">
    <w:name w:val="正文1"/>
    <w:qFormat/>
    <w:uiPriority w:val="0"/>
    <w:pPr>
      <w:jc w:val="both"/>
    </w:pPr>
    <w:rPr>
      <w:rFonts w:ascii="Calibri" w:hAnsi="Calibri" w:eastAsia="宋体" w:cs="宋体"/>
      <w:kern w:val="2"/>
      <w:sz w:val="21"/>
      <w:szCs w:val="21"/>
      <w:lang w:val="en-US" w:eastAsia="zh-CN" w:bidi="ar-SA"/>
    </w:rPr>
  </w:style>
  <w:style w:type="character" w:customStyle="1" w:styleId="48">
    <w:name w:val="dash6b63_6587__char1"/>
    <w:qFormat/>
    <w:uiPriority w:val="0"/>
    <w:rPr>
      <w:rFonts w:hint="default" w:ascii="Times New Roman" w:hAnsi="Times New Roman" w:cs="Times New Roman"/>
      <w:sz w:val="20"/>
      <w:szCs w:val="20"/>
      <w:u w:val="none"/>
    </w:rPr>
  </w:style>
  <w:style w:type="paragraph" w:customStyle="1" w:styleId="49">
    <w:name w:val="标准文件_前言、引言标题"/>
    <w:next w:val="1"/>
    <w:qFormat/>
    <w:uiPriority w:val="0"/>
    <w:pPr>
      <w:numPr>
        <w:ilvl w:val="0"/>
        <w:numId w:val="1"/>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50">
    <w:name w:val="章标题"/>
    <w:next w:val="51"/>
    <w:qFormat/>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51">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52">
    <w:name w:val="一级条标题"/>
    <w:next w:val="51"/>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53">
    <w:name w:val="二级无"/>
    <w:basedOn w:val="54"/>
    <w:qFormat/>
    <w:uiPriority w:val="0"/>
    <w:pPr>
      <w:spacing w:before="0" w:beforeLines="0" w:after="0" w:afterLines="0"/>
    </w:pPr>
    <w:rPr>
      <w:rFonts w:ascii="宋体" w:eastAsia="宋体"/>
    </w:rPr>
  </w:style>
  <w:style w:type="paragraph" w:customStyle="1" w:styleId="54">
    <w:name w:val="二级条标题"/>
    <w:basedOn w:val="52"/>
    <w:next w:val="51"/>
    <w:qFormat/>
    <w:uiPriority w:val="0"/>
    <w:pPr>
      <w:numPr>
        <w:ilvl w:val="2"/>
        <w:numId w:val="2"/>
      </w:numPr>
      <w:spacing w:before="50" w:after="50"/>
      <w:outlineLvl w:val="3"/>
    </w:pPr>
  </w:style>
  <w:style w:type="paragraph" w:customStyle="1" w:styleId="55">
    <w:name w:val="字母编号列项（一级）"/>
    <w:qFormat/>
    <w:uiPriority w:val="0"/>
    <w:pPr>
      <w:numPr>
        <w:ilvl w:val="0"/>
        <w:numId w:val="3"/>
      </w:numPr>
      <w:jc w:val="both"/>
    </w:pPr>
    <w:rPr>
      <w:rFonts w:ascii="宋体" w:hAnsi="Times New Roman" w:eastAsia="宋体" w:cs="Times New Roman"/>
      <w:sz w:val="21"/>
      <w:lang w:val="en-US" w:eastAsia="zh-CN" w:bidi="ar-SA"/>
    </w:rPr>
  </w:style>
  <w:style w:type="paragraph" w:customStyle="1" w:styleId="56">
    <w:name w:val="列项●（二级）"/>
    <w:qFormat/>
    <w:uiPriority w:val="0"/>
    <w:pPr>
      <w:numPr>
        <w:ilvl w:val="1"/>
        <w:numId w:val="4"/>
      </w:numPr>
      <w:tabs>
        <w:tab w:val="left" w:pos="840"/>
      </w:tabs>
      <w:jc w:val="both"/>
    </w:pPr>
    <w:rPr>
      <w:rFonts w:ascii="宋体" w:hAnsi="Times New Roman" w:eastAsia="宋体" w:cs="Times New Roman"/>
      <w:sz w:val="21"/>
      <w:lang w:val="en-US" w:eastAsia="zh-CN" w:bidi="ar-SA"/>
    </w:rPr>
  </w:style>
  <w:style w:type="paragraph" w:customStyle="1" w:styleId="57">
    <w:name w:val="注：（正文）"/>
    <w:basedOn w:val="58"/>
    <w:next w:val="51"/>
    <w:qFormat/>
    <w:uiPriority w:val="0"/>
  </w:style>
  <w:style w:type="paragraph" w:customStyle="1" w:styleId="58">
    <w:name w:val="注："/>
    <w:next w:val="51"/>
    <w:qFormat/>
    <w:uiPriority w:val="0"/>
    <w:pPr>
      <w:widowControl w:val="0"/>
      <w:numPr>
        <w:ilvl w:val="0"/>
        <w:numId w:val="5"/>
      </w:numPr>
      <w:autoSpaceDE w:val="0"/>
      <w:autoSpaceDN w:val="0"/>
      <w:jc w:val="both"/>
    </w:pPr>
    <w:rPr>
      <w:rFonts w:ascii="宋体" w:hAnsi="Times New Roman" w:eastAsia="宋体" w:cs="Times New Roman"/>
      <w:sz w:val="18"/>
      <w:szCs w:val="18"/>
      <w:lang w:val="en-US" w:eastAsia="zh-CN" w:bidi="ar-SA"/>
    </w:rPr>
  </w:style>
  <w:style w:type="paragraph" w:customStyle="1" w:styleId="59">
    <w:name w:val="附录标识"/>
    <w:basedOn w:val="1"/>
    <w:next w:val="51"/>
    <w:qFormat/>
    <w:uiPriority w:val="0"/>
    <w:pPr>
      <w:keepNext/>
      <w:widowControl/>
      <w:numPr>
        <w:ilvl w:val="0"/>
        <w:numId w:val="6"/>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60">
    <w:name w:val="正文表标题"/>
    <w:next w:val="51"/>
    <w:qFormat/>
    <w:uiPriority w:val="0"/>
    <w:pPr>
      <w:numPr>
        <w:ilvl w:val="0"/>
        <w:numId w:val="7"/>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61">
    <w:name w:val="Other|1"/>
    <w:basedOn w:val="1"/>
    <w:qFormat/>
    <w:uiPriority w:val="0"/>
    <w:rPr>
      <w:rFonts w:ascii="宋体" w:hAnsi="宋体" w:cs="宋体"/>
      <w:sz w:val="19"/>
      <w:szCs w:val="19"/>
      <w:lang w:val="zh-CN" w:bidi="zh-CN"/>
    </w:rPr>
  </w:style>
  <w:style w:type="paragraph" w:customStyle="1" w:styleId="62">
    <w:name w:val="终结线"/>
    <w:basedOn w:val="1"/>
    <w:qFormat/>
    <w:uiPriority w:val="0"/>
    <w:pPr>
      <w:framePr w:hSpace="181" w:vSpace="181" w:wrap="around" w:vAnchor="text" w:hAnchor="margin" w:xAlign="center" w:y="285"/>
    </w:pPr>
  </w:style>
  <w:style w:type="paragraph" w:customStyle="1" w:styleId="63">
    <w:name w:val="标准文件_术语条一"/>
    <w:basedOn w:val="64"/>
    <w:next w:val="67"/>
    <w:qFormat/>
    <w:uiPriority w:val="0"/>
  </w:style>
  <w:style w:type="paragraph" w:customStyle="1" w:styleId="64">
    <w:name w:val="标准文件_一级无标题"/>
    <w:basedOn w:val="65"/>
    <w:qFormat/>
    <w:uiPriority w:val="0"/>
    <w:pPr>
      <w:spacing w:before="0" w:beforeLines="0" w:after="0" w:afterLines="0"/>
      <w:outlineLvl w:val="9"/>
    </w:pPr>
    <w:rPr>
      <w:rFonts w:ascii="宋体" w:eastAsia="宋体"/>
    </w:rPr>
  </w:style>
  <w:style w:type="paragraph" w:customStyle="1" w:styleId="65">
    <w:name w:val="标准文件_一级条标题"/>
    <w:basedOn w:val="66"/>
    <w:next w:val="67"/>
    <w:qFormat/>
    <w:uiPriority w:val="0"/>
    <w:pPr>
      <w:numPr>
        <w:ilvl w:val="2"/>
      </w:numPr>
      <w:spacing w:before="50" w:beforeLines="50" w:after="50" w:afterLines="50"/>
      <w:outlineLvl w:val="1"/>
    </w:pPr>
  </w:style>
  <w:style w:type="paragraph" w:customStyle="1" w:styleId="66">
    <w:name w:val="标准文件_章标题"/>
    <w:next w:val="67"/>
    <w:qFormat/>
    <w:uiPriority w:val="0"/>
    <w:pPr>
      <w:numPr>
        <w:ilvl w:val="1"/>
        <w:numId w:val="8"/>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67">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8">
    <w:name w:val="标准文件_二级无标题"/>
    <w:basedOn w:val="69"/>
    <w:qFormat/>
    <w:uiPriority w:val="0"/>
    <w:pPr>
      <w:spacing w:before="0" w:beforeLines="0" w:after="0" w:afterLines="0"/>
      <w:outlineLvl w:val="9"/>
    </w:pPr>
    <w:rPr>
      <w:rFonts w:ascii="宋体" w:eastAsia="宋体"/>
    </w:rPr>
  </w:style>
  <w:style w:type="paragraph" w:customStyle="1" w:styleId="69">
    <w:name w:val="标准文件_二级条标题"/>
    <w:next w:val="67"/>
    <w:qFormat/>
    <w:uiPriority w:val="0"/>
    <w:pPr>
      <w:widowControl w:val="0"/>
      <w:numPr>
        <w:ilvl w:val="3"/>
        <w:numId w:val="8"/>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70">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7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72">
    <w:name w:val="说明文字"/>
    <w:basedOn w:val="1"/>
    <w:qFormat/>
    <w:uiPriority w:val="0"/>
    <w:pPr>
      <w:ind w:firstLine="0" w:firstLineChars="0"/>
    </w:pPr>
    <w:rPr>
      <w:sz w:val="21"/>
    </w:rPr>
  </w:style>
  <w:style w:type="paragraph" w:customStyle="1" w:styleId="73">
    <w:name w:val="标准文件_附录一级条标题"/>
    <w:next w:val="67"/>
    <w:qFormat/>
    <w:uiPriority w:val="0"/>
    <w:pPr>
      <w:widowControl w:val="0"/>
      <w:numPr>
        <w:ilvl w:val="1"/>
        <w:numId w:val="6"/>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4">
    <w:name w:val="标准文件_附录图标题"/>
    <w:next w:val="67"/>
    <w:qFormat/>
    <w:uiPriority w:val="0"/>
    <w:pPr>
      <w:numPr>
        <w:ilvl w:val="1"/>
        <w:numId w:val="9"/>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75">
    <w:name w:val="标准文件_参考文献标题"/>
    <w:basedOn w:val="1"/>
    <w:next w:val="1"/>
    <w:qFormat/>
    <w:uiPriority w:val="0"/>
    <w:pPr>
      <w:widowControl/>
      <w:shd w:val="clear" w:color="FFFFFF" w:fill="FFFFFF"/>
      <w:spacing w:before="580" w:after="50" w:afterLines="50"/>
      <w:jc w:val="center"/>
      <w:outlineLvl w:val="0"/>
    </w:pPr>
    <w:rPr>
      <w:rFonts w:ascii="黑体" w:eastAsia="黑体"/>
      <w:kern w:val="0"/>
    </w:rPr>
  </w:style>
  <w:style w:type="paragraph" w:customStyle="1" w:styleId="76">
    <w:name w:val="标准文件_表格"/>
    <w:basedOn w:val="67"/>
    <w:qFormat/>
    <w:uiPriority w:val="0"/>
    <w:pPr>
      <w:ind w:firstLine="0" w:firstLineChars="0"/>
      <w:jc w:val="center"/>
    </w:pPr>
    <w:rPr>
      <w:sz w:val="18"/>
    </w:rPr>
  </w:style>
  <w:style w:type="paragraph" w:customStyle="1" w:styleId="77">
    <w:name w:val="标准文件_注×："/>
    <w:qFormat/>
    <w:uiPriority w:val="0"/>
    <w:pPr>
      <w:widowControl w:val="0"/>
      <w:numPr>
        <w:ilvl w:val="0"/>
        <w:numId w:val="10"/>
      </w:numPr>
      <w:autoSpaceDE w:val="0"/>
      <w:autoSpaceDN w:val="0"/>
      <w:jc w:val="both"/>
    </w:pPr>
    <w:rPr>
      <w:rFonts w:ascii="宋体" w:hAnsi="Times New Roman" w:eastAsia="宋体" w:cs="Times New Roman"/>
      <w:sz w:val="18"/>
      <w:szCs w:val="18"/>
      <w:lang w:val="en-US" w:eastAsia="zh-CN" w:bidi="ar-SA"/>
    </w:rPr>
  </w:style>
  <w:style w:type="paragraph" w:customStyle="1" w:styleId="78">
    <w:name w:val="标准文件_字母编号列项（一级）"/>
    <w:qFormat/>
    <w:uiPriority w:val="0"/>
    <w:pPr>
      <w:numPr>
        <w:ilvl w:val="0"/>
        <w:numId w:val="11"/>
      </w:numPr>
      <w:jc w:val="both"/>
    </w:pPr>
    <w:rPr>
      <w:rFonts w:ascii="宋体" w:hAnsi="Times New Roman" w:eastAsia="宋体" w:cs="Times New Roman"/>
      <w:sz w:val="21"/>
      <w:lang w:val="en-US" w:eastAsia="zh-CN" w:bidi="ar-SA"/>
    </w:rPr>
  </w:style>
  <w:style w:type="paragraph" w:customStyle="1" w:styleId="79">
    <w:name w:val="标准文件_数字编号列项（二级）"/>
    <w:qFormat/>
    <w:uiPriority w:val="0"/>
    <w:pPr>
      <w:numPr>
        <w:ilvl w:val="1"/>
        <w:numId w:val="11"/>
      </w:numPr>
      <w:tabs>
        <w:tab w:val="left" w:pos="851"/>
      </w:tabs>
      <w:jc w:val="both"/>
    </w:pPr>
    <w:rPr>
      <w:rFonts w:ascii="宋体" w:hAnsi="Times New Roman" w:eastAsia="宋体" w:cs="Times New Roman"/>
      <w:sz w:val="21"/>
      <w:lang w:val="en-US" w:eastAsia="zh-CN" w:bidi="ar-SA"/>
    </w:rPr>
  </w:style>
  <w:style w:type="paragraph" w:customStyle="1" w:styleId="80">
    <w:name w:val="标准文件_三级无标题"/>
    <w:basedOn w:val="81"/>
    <w:qFormat/>
    <w:uiPriority w:val="0"/>
    <w:pPr>
      <w:spacing w:before="0" w:beforeLines="0" w:after="0" w:afterLines="0"/>
      <w:outlineLvl w:val="9"/>
    </w:pPr>
    <w:rPr>
      <w:rFonts w:ascii="宋体" w:eastAsia="宋体"/>
    </w:rPr>
  </w:style>
  <w:style w:type="paragraph" w:customStyle="1" w:styleId="81">
    <w:name w:val="标准文件_三级条标题"/>
    <w:basedOn w:val="69"/>
    <w:next w:val="67"/>
    <w:qFormat/>
    <w:uiPriority w:val="0"/>
    <w:pPr>
      <w:widowControl/>
      <w:numPr>
        <w:ilvl w:val="4"/>
      </w:numPr>
      <w:outlineLvl w:val="3"/>
    </w:pPr>
  </w:style>
  <w:style w:type="paragraph" w:customStyle="1" w:styleId="82">
    <w:name w:val="标准文件_正文图标题"/>
    <w:next w:val="67"/>
    <w:qFormat/>
    <w:uiPriority w:val="0"/>
    <w:pPr>
      <w:numPr>
        <w:ilvl w:val="0"/>
        <w:numId w:val="12"/>
      </w:numPr>
      <w:spacing w:before="50" w:beforeLines="50" w:after="50" w:afterLines="50"/>
      <w:jc w:val="center"/>
    </w:pPr>
    <w:rPr>
      <w:rFonts w:ascii="黑体" w:hAnsi="Times New Roman" w:eastAsia="黑体" w:cs="Times New Roman"/>
      <w:sz w:val="21"/>
      <w:lang w:val="en-US" w:eastAsia="zh-CN" w:bidi="ar-SA"/>
    </w:rPr>
  </w:style>
  <w:style w:type="paragraph" w:customStyle="1" w:styleId="83">
    <w:name w:val="标准文件_附录表标题"/>
    <w:next w:val="67"/>
    <w:qFormat/>
    <w:uiPriority w:val="0"/>
    <w:pPr>
      <w:numPr>
        <w:ilvl w:val="1"/>
        <w:numId w:val="13"/>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4">
    <w:name w:val="标准文件_注："/>
    <w:next w:val="67"/>
    <w:qFormat/>
    <w:uiPriority w:val="0"/>
    <w:pPr>
      <w:widowControl w:val="0"/>
      <w:numPr>
        <w:ilvl w:val="0"/>
        <w:numId w:val="5"/>
      </w:numPr>
      <w:autoSpaceDE w:val="0"/>
      <w:autoSpaceDN w:val="0"/>
      <w:jc w:val="both"/>
    </w:pPr>
    <w:rPr>
      <w:rFonts w:ascii="宋体" w:hAnsi="Times New Roman" w:eastAsia="宋体" w:cs="Times New Roman"/>
      <w:sz w:val="18"/>
      <w:szCs w:val="18"/>
      <w:lang w:val="en-US" w:eastAsia="zh-CN" w:bidi="ar-SA"/>
    </w:rPr>
  </w:style>
  <w:style w:type="paragraph" w:customStyle="1" w:styleId="85">
    <w:name w:val="标准文件_附录二级条标题"/>
    <w:basedOn w:val="73"/>
    <w:next w:val="67"/>
    <w:qFormat/>
    <w:uiPriority w:val="0"/>
    <w:pPr>
      <w:widowControl/>
      <w:numPr>
        <w:ilvl w:val="2"/>
      </w:numPr>
      <w:wordWrap w:val="0"/>
      <w:overflowPunct w:val="0"/>
      <w:autoSpaceDE w:val="0"/>
      <w:autoSpaceDN w:val="0"/>
      <w:textAlignment w:val="baseline"/>
      <w:outlineLvl w:val="3"/>
    </w:pPr>
  </w:style>
  <w:style w:type="paragraph" w:customStyle="1" w:styleId="86">
    <w:name w:val="标准文件_附录标识"/>
    <w:next w:val="67"/>
    <w:qFormat/>
    <w:uiPriority w:val="0"/>
    <w:pPr>
      <w:numPr>
        <w:ilvl w:val="0"/>
        <w:numId w:val="6"/>
      </w:numPr>
      <w:shd w:val="clear" w:color="FFFFFF" w:fill="FFFFFF"/>
      <w:spacing w:before="560" w:after="50" w:afterLines="50"/>
      <w:jc w:val="center"/>
      <w:outlineLvl w:val="0"/>
    </w:pPr>
    <w:rPr>
      <w:rFonts w:ascii="黑体" w:hAnsi="Times New Roman" w:eastAsia="黑体" w:cs="Times New Roman"/>
      <w:sz w:val="21"/>
      <w:lang w:val="en-US" w:eastAsia="zh-CN" w:bidi="ar-SA"/>
    </w:rPr>
  </w:style>
  <w:style w:type="paragraph" w:customStyle="1" w:styleId="87">
    <w:name w:val="标准文件_一级项"/>
    <w:qFormat/>
    <w:uiPriority w:val="0"/>
    <w:pPr>
      <w:numPr>
        <w:ilvl w:val="0"/>
        <w:numId w:val="4"/>
      </w:numPr>
    </w:pPr>
    <w:rPr>
      <w:rFonts w:ascii="宋体" w:hAnsi="Times New Roman" w:eastAsia="宋体" w:cs="Times New Roman"/>
      <w:sz w:val="21"/>
      <w:lang w:val="en-US" w:eastAsia="zh-CN" w:bidi="ar-SA"/>
    </w:rPr>
  </w:style>
  <w:style w:type="paragraph" w:customStyle="1" w:styleId="88">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89">
    <w:name w:val="标准文件_页眉偶数页"/>
    <w:basedOn w:val="88"/>
    <w:next w:val="1"/>
    <w:qFormat/>
    <w:uiPriority w:val="0"/>
    <w:pPr>
      <w:jc w:val="left"/>
    </w:p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8" Type="http://schemas.openxmlformats.org/officeDocument/2006/relationships/fontTable" Target="fontTable.xml"/><Relationship Id="rId37" Type="http://schemas.openxmlformats.org/officeDocument/2006/relationships/customXml" Target="../customXml/item2.xml"/><Relationship Id="rId36" Type="http://schemas.openxmlformats.org/officeDocument/2006/relationships/numbering" Target="numbering.xml"/><Relationship Id="rId35" Type="http://schemas.openxmlformats.org/officeDocument/2006/relationships/customXml" Target="../customXml/item1.xml"/><Relationship Id="rId34" Type="http://schemas.openxmlformats.org/officeDocument/2006/relationships/image" Target="media/image4.jpeg"/><Relationship Id="rId33" Type="http://schemas.openxmlformats.org/officeDocument/2006/relationships/image" Target="media/image3.jpeg"/><Relationship Id="rId32" Type="http://schemas.openxmlformats.org/officeDocument/2006/relationships/image" Target="media/image2.jpeg"/><Relationship Id="rId31" Type="http://schemas.openxmlformats.org/officeDocument/2006/relationships/image" Target="media/image1.jpeg"/><Relationship Id="rId30" Type="http://schemas.openxmlformats.org/officeDocument/2006/relationships/theme" Target="theme/theme1.xml"/><Relationship Id="rId3" Type="http://schemas.openxmlformats.org/officeDocument/2006/relationships/header" Target="header1.xml"/><Relationship Id="rId29" Type="http://schemas.openxmlformats.org/officeDocument/2006/relationships/footer" Target="footer16.xml"/><Relationship Id="rId28" Type="http://schemas.openxmlformats.org/officeDocument/2006/relationships/footer" Target="footer15.xml"/><Relationship Id="rId27" Type="http://schemas.openxmlformats.org/officeDocument/2006/relationships/header" Target="header11.xml"/><Relationship Id="rId26" Type="http://schemas.openxmlformats.org/officeDocument/2006/relationships/header" Target="header10.xml"/><Relationship Id="rId25" Type="http://schemas.openxmlformats.org/officeDocument/2006/relationships/footer" Target="footer14.xml"/><Relationship Id="rId24" Type="http://schemas.openxmlformats.org/officeDocument/2006/relationships/footer" Target="footer13.xml"/><Relationship Id="rId23" Type="http://schemas.openxmlformats.org/officeDocument/2006/relationships/header" Target="header9.xml"/><Relationship Id="rId22" Type="http://schemas.openxmlformats.org/officeDocument/2006/relationships/header" Target="header8.xml"/><Relationship Id="rId21" Type="http://schemas.openxmlformats.org/officeDocument/2006/relationships/footer" Target="footer12.xml"/><Relationship Id="rId20" Type="http://schemas.openxmlformats.org/officeDocument/2006/relationships/footer" Target="footer11.xml"/><Relationship Id="rId2" Type="http://schemas.openxmlformats.org/officeDocument/2006/relationships/settings" Target="settings.xml"/><Relationship Id="rId19" Type="http://schemas.openxmlformats.org/officeDocument/2006/relationships/header" Target="header7.xml"/><Relationship Id="rId18" Type="http://schemas.openxmlformats.org/officeDocument/2006/relationships/header" Target="header6.xml"/><Relationship Id="rId17" Type="http://schemas.openxmlformats.org/officeDocument/2006/relationships/footer" Target="footer10.xml"/><Relationship Id="rId16" Type="http://schemas.openxmlformats.org/officeDocument/2006/relationships/footer" Target="footer9.xml"/><Relationship Id="rId15" Type="http://schemas.openxmlformats.org/officeDocument/2006/relationships/header" Target="header5.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3B264C-F4AB-4750-B0F2-36A656C9AE92}">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31</Pages>
  <Words>1194</Words>
  <Characters>1504</Characters>
  <Lines>78</Lines>
  <Paragraphs>22</Paragraphs>
  <TotalTime>29</TotalTime>
  <ScaleCrop>false</ScaleCrop>
  <LinksUpToDate>false</LinksUpToDate>
  <CharactersWithSpaces>1874</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2022-12-21T07:00:00Z</dcterms:created>
  <dc:creator>wy</dc:creator>
  <cp:lastModifiedBy>TZ</cp:lastModifiedBy>
  <cp:lastPrinted>2022-09-06T01:26:00Z</cp:lastPrinted>
  <dcterms:modified xsi:type="dcterms:W3CDTF">2024-11-21T05:42:09Z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5A7BB17456EC4F61AE537963EC931AAD_13</vt:lpwstr>
  </property>
</Properties>
</file>